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5F24D" w14:textId="77777777" w:rsidR="00701E1E" w:rsidRPr="002233C7" w:rsidRDefault="00701E1E" w:rsidP="00701E1E">
      <w:pPr>
        <w:rPr>
          <w:rFonts w:ascii="Garamond" w:hAnsi="Garamond"/>
          <w:sz w:val="24"/>
          <w:szCs w:val="24"/>
        </w:rPr>
      </w:pPr>
      <w:r w:rsidRPr="002233C7">
        <w:rPr>
          <w:rFonts w:ascii="Garamond" w:hAnsi="Garamond"/>
          <w:noProof/>
          <w:sz w:val="24"/>
          <w:szCs w:val="24"/>
        </w:rPr>
        <mc:AlternateContent>
          <mc:Choice Requires="wps">
            <w:drawing>
              <wp:anchor distT="0" distB="0" distL="114300" distR="114300" simplePos="0" relativeHeight="251660288" behindDoc="0" locked="0" layoutInCell="1" allowOverlap="1" wp14:anchorId="63B93EFA" wp14:editId="54B1F41B">
                <wp:simplePos x="0" y="0"/>
                <wp:positionH relativeFrom="column">
                  <wp:posOffset>9525</wp:posOffset>
                </wp:positionH>
                <wp:positionV relativeFrom="paragraph">
                  <wp:posOffset>81280</wp:posOffset>
                </wp:positionV>
                <wp:extent cx="5915025" cy="0"/>
                <wp:effectExtent l="19050" t="38100" r="66675" b="114300"/>
                <wp:wrapNone/>
                <wp:docPr id="3" name="Straight Connector 3"/>
                <wp:cNvGraphicFramePr/>
                <a:graphic xmlns:a="http://schemas.openxmlformats.org/drawingml/2006/main">
                  <a:graphicData uri="http://schemas.microsoft.com/office/word/2010/wordprocessingShape">
                    <wps:wsp>
                      <wps:cNvCnPr/>
                      <wps:spPr>
                        <a:xfrm>
                          <a:off x="0" y="0"/>
                          <a:ext cx="5915025" cy="0"/>
                        </a:xfrm>
                        <a:prstGeom prst="line">
                          <a:avLst/>
                        </a:prstGeom>
                        <a:ln>
                          <a:solidFill>
                            <a:srgbClr val="208F44"/>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A4306B"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6.4pt" to="46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" strokecolor="#208f44">
                <v:shadow on="t" color="black" opacity="26214f" origin="-.5,-.5" offset=".74836mm,.74836mm"/>
              </v:line>
            </w:pict>
          </mc:Fallback>
        </mc:AlternateContent>
      </w:r>
      <w:r w:rsidRPr="002233C7">
        <w:rPr>
          <w:rFonts w:ascii="Garamond" w:hAnsi="Garamond"/>
          <w:sz w:val="24"/>
          <w:szCs w:val="24"/>
        </w:rPr>
        <w:tab/>
      </w:r>
      <w:r w:rsidRPr="002233C7">
        <w:rPr>
          <w:rFonts w:ascii="Garamond" w:hAnsi="Garamond"/>
          <w:sz w:val="24"/>
          <w:szCs w:val="24"/>
        </w:rPr>
        <w:tab/>
      </w:r>
      <w:r w:rsidRPr="002233C7">
        <w:rPr>
          <w:rFonts w:ascii="Garamond" w:hAnsi="Garamond"/>
          <w:sz w:val="24"/>
          <w:szCs w:val="24"/>
        </w:rPr>
        <w:tab/>
      </w:r>
      <w:r w:rsidRPr="002233C7">
        <w:rPr>
          <w:rFonts w:ascii="Garamond" w:hAnsi="Garamond"/>
          <w:sz w:val="24"/>
          <w:szCs w:val="24"/>
        </w:rPr>
        <w:tab/>
      </w:r>
      <w:r w:rsidRPr="002233C7">
        <w:rPr>
          <w:rFonts w:ascii="Garamond" w:hAnsi="Garamond"/>
          <w:sz w:val="24"/>
          <w:szCs w:val="24"/>
        </w:rPr>
        <w:tab/>
      </w:r>
    </w:p>
    <w:p w14:paraId="746D5FB7" w14:textId="5A9CE7FB" w:rsidR="00701E1E" w:rsidRPr="00566894" w:rsidRDefault="00625897" w:rsidP="00701E1E">
      <w:pPr>
        <w:rPr>
          <w:rFonts w:ascii="Cabin" w:hAnsi="Cabin"/>
          <w:b/>
          <w:color w:val="208F44"/>
          <w:sz w:val="40"/>
          <w:szCs w:val="40"/>
        </w:rPr>
      </w:pPr>
      <w:r>
        <w:rPr>
          <w:rFonts w:ascii="Cabin" w:hAnsi="Cabin"/>
          <w:b/>
          <w:color w:val="208F44"/>
          <w:sz w:val="40"/>
          <w:szCs w:val="40"/>
        </w:rPr>
        <w:t>Mammography Payment Policy</w:t>
      </w:r>
    </w:p>
    <w:p w14:paraId="22FDF77A" w14:textId="77777777" w:rsidR="00701E1E" w:rsidRPr="002233C7" w:rsidRDefault="00701E1E" w:rsidP="00B3483B">
      <w:pPr>
        <w:spacing w:line="276" w:lineRule="auto"/>
        <w:rPr>
          <w:rFonts w:ascii="Garamond" w:hAnsi="Garamond"/>
          <w:sz w:val="24"/>
          <w:szCs w:val="24"/>
        </w:rPr>
      </w:pPr>
      <w:r w:rsidRPr="002233C7">
        <w:rPr>
          <w:rFonts w:ascii="Garamond" w:hAnsi="Garamond"/>
          <w:noProof/>
          <w:sz w:val="24"/>
          <w:szCs w:val="24"/>
        </w:rPr>
        <mc:AlternateContent>
          <mc:Choice Requires="wps">
            <w:drawing>
              <wp:anchor distT="0" distB="0" distL="114300" distR="114300" simplePos="0" relativeHeight="251659264" behindDoc="0" locked="0" layoutInCell="1" allowOverlap="1" wp14:anchorId="49EE903E" wp14:editId="60206B98">
                <wp:simplePos x="0" y="0"/>
                <wp:positionH relativeFrom="column">
                  <wp:posOffset>9525</wp:posOffset>
                </wp:positionH>
                <wp:positionV relativeFrom="paragraph">
                  <wp:posOffset>92075</wp:posOffset>
                </wp:positionV>
                <wp:extent cx="5915025" cy="0"/>
                <wp:effectExtent l="38100" t="95250" r="66675" b="38100"/>
                <wp:wrapNone/>
                <wp:docPr id="4" name="Straight Connector 4"/>
                <wp:cNvGraphicFramePr/>
                <a:graphic xmlns:a="http://schemas.openxmlformats.org/drawingml/2006/main">
                  <a:graphicData uri="http://schemas.microsoft.com/office/word/2010/wordprocessingShape">
                    <wps:wsp>
                      <wps:cNvCnPr/>
                      <wps:spPr>
                        <a:xfrm>
                          <a:off x="0" y="0"/>
                          <a:ext cx="5915025" cy="0"/>
                        </a:xfrm>
                        <a:prstGeom prst="line">
                          <a:avLst/>
                        </a:prstGeom>
                        <a:ln>
                          <a:solidFill>
                            <a:srgbClr val="208F44"/>
                          </a:solidFill>
                        </a:ln>
                        <a:effectLst>
                          <a:outerShdw blurRad="50800" dist="38100" dir="16200000"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BD262D"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25pt" to="466.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" strokecolor="#208f44">
                <v:shadow on="t" color="black" opacity="26214f" origin=",.5" offset="0,-3pt"/>
              </v:line>
            </w:pict>
          </mc:Fallback>
        </mc:AlternateContent>
      </w:r>
    </w:p>
    <w:p w14:paraId="040BD0E0" w14:textId="77777777" w:rsidR="00F5407A" w:rsidRPr="00566894" w:rsidRDefault="00F5407A" w:rsidP="007D2FC6">
      <w:pPr>
        <w:spacing w:before="120" w:line="360" w:lineRule="auto"/>
        <w:ind w:right="29"/>
        <w:textAlignment w:val="baseline"/>
        <w:rPr>
          <w:rFonts w:ascii="Garamond" w:eastAsia="Garamond" w:hAnsi="Garamond"/>
          <w:b/>
          <w:color w:val="2B8444"/>
          <w:spacing w:val="-2"/>
          <w:sz w:val="24"/>
          <w:szCs w:val="24"/>
        </w:rPr>
      </w:pPr>
      <w:r w:rsidRPr="00566894">
        <w:rPr>
          <w:rFonts w:ascii="Garamond" w:eastAsia="Garamond" w:hAnsi="Garamond"/>
          <w:b/>
          <w:color w:val="2B8444"/>
          <w:spacing w:val="-2"/>
          <w:sz w:val="24"/>
          <w:szCs w:val="24"/>
        </w:rPr>
        <w:t xml:space="preserve">Policy </w:t>
      </w:r>
      <w:r w:rsidR="00C357FC">
        <w:rPr>
          <w:rFonts w:ascii="Garamond" w:eastAsia="Garamond" w:hAnsi="Garamond"/>
          <w:b/>
          <w:color w:val="2B8444"/>
          <w:spacing w:val="-2"/>
          <w:sz w:val="24"/>
          <w:szCs w:val="24"/>
        </w:rPr>
        <w:t>Statement</w:t>
      </w:r>
    </w:p>
    <w:p w14:paraId="5458D4C6" w14:textId="77777777" w:rsidR="006F04B1" w:rsidRDefault="00625897" w:rsidP="00625897">
      <w:pPr>
        <w:ind w:right="29"/>
        <w:textAlignment w:val="baseline"/>
        <w:rPr>
          <w:rFonts w:ascii="Garamond" w:eastAsia="Garamond" w:hAnsi="Garamond"/>
          <w:spacing w:val="-2"/>
          <w:sz w:val="24"/>
          <w:szCs w:val="24"/>
        </w:rPr>
      </w:pPr>
      <w:r w:rsidRPr="00625897">
        <w:rPr>
          <w:rFonts w:ascii="Garamond" w:eastAsia="Garamond" w:hAnsi="Garamond"/>
          <w:spacing w:val="-2"/>
          <w:sz w:val="24"/>
          <w:szCs w:val="24"/>
        </w:rPr>
        <w:t>Mammography is specialized medical imaging that uses a low-dose x-ray system to see inside the breasts. A mammography exam, called a mammogram, aids in the early detection and diagnosis of breast diseases in women. An x-ray exam helps doctors diagnose and treat medical conditions</w:t>
      </w:r>
      <w:r>
        <w:rPr>
          <w:rFonts w:ascii="Garamond" w:eastAsia="Garamond" w:hAnsi="Garamond"/>
          <w:spacing w:val="-2"/>
          <w:sz w:val="24"/>
          <w:szCs w:val="24"/>
        </w:rPr>
        <w:t>.</w:t>
      </w:r>
    </w:p>
    <w:p w14:paraId="6EE7A0FE" w14:textId="77777777" w:rsidR="00625897" w:rsidRPr="00625897" w:rsidRDefault="00625897" w:rsidP="00625897">
      <w:pPr>
        <w:ind w:right="29"/>
        <w:textAlignment w:val="baseline"/>
        <w:rPr>
          <w:rFonts w:ascii="Garamond" w:eastAsia="Garamond" w:hAnsi="Garamond"/>
          <w:spacing w:val="-2"/>
          <w:sz w:val="24"/>
          <w:szCs w:val="24"/>
        </w:rPr>
      </w:pPr>
      <w:r w:rsidRPr="00625897">
        <w:rPr>
          <w:rFonts w:ascii="Garamond" w:eastAsia="Garamond" w:hAnsi="Garamond"/>
          <w:spacing w:val="-2"/>
          <w:sz w:val="24"/>
          <w:szCs w:val="24"/>
        </w:rPr>
        <w:t>The goal of screening tests for breast cancer is to fi</w:t>
      </w:r>
      <w:r w:rsidR="009D4ACC">
        <w:rPr>
          <w:rFonts w:ascii="Garamond" w:eastAsia="Garamond" w:hAnsi="Garamond"/>
          <w:spacing w:val="-2"/>
          <w:sz w:val="24"/>
          <w:szCs w:val="24"/>
        </w:rPr>
        <w:t>nd it before it causes symptoms</w:t>
      </w:r>
      <w:r w:rsidRPr="00625897">
        <w:rPr>
          <w:rFonts w:ascii="Garamond" w:eastAsia="Garamond" w:hAnsi="Garamond"/>
          <w:spacing w:val="-2"/>
          <w:sz w:val="24"/>
          <w:szCs w:val="24"/>
        </w:rPr>
        <w:t>. Screening refers to tests and exams used to find a disease in people who don’t have any symptoms. Early detection means finding and diagnosing a disease earlier than if you’d waited for symptoms to start.</w:t>
      </w:r>
    </w:p>
    <w:p w14:paraId="47183426" w14:textId="77777777" w:rsidR="00625897" w:rsidRDefault="00625897" w:rsidP="001D69BA">
      <w:pPr>
        <w:spacing w:line="360" w:lineRule="auto"/>
        <w:ind w:right="29"/>
        <w:textAlignment w:val="baseline"/>
        <w:rPr>
          <w:rFonts w:ascii="Garamond" w:eastAsia="Garamond" w:hAnsi="Garamond"/>
          <w:b/>
          <w:color w:val="2B8444"/>
          <w:spacing w:val="-2"/>
          <w:sz w:val="24"/>
          <w:szCs w:val="24"/>
        </w:rPr>
      </w:pPr>
    </w:p>
    <w:p w14:paraId="069563A9" w14:textId="77777777" w:rsidR="00F5407A" w:rsidRPr="00566894" w:rsidRDefault="00F5407A" w:rsidP="001D69BA">
      <w:pPr>
        <w:spacing w:line="360" w:lineRule="auto"/>
        <w:ind w:right="29"/>
        <w:textAlignment w:val="baseline"/>
        <w:rPr>
          <w:rFonts w:ascii="Garamond" w:eastAsia="Garamond" w:hAnsi="Garamond"/>
          <w:b/>
          <w:color w:val="2B8444"/>
          <w:spacing w:val="-2"/>
          <w:sz w:val="24"/>
          <w:szCs w:val="24"/>
        </w:rPr>
      </w:pPr>
      <w:r w:rsidRPr="00566894">
        <w:rPr>
          <w:rFonts w:ascii="Garamond" w:eastAsia="Garamond" w:hAnsi="Garamond"/>
          <w:b/>
          <w:color w:val="2B8444"/>
          <w:spacing w:val="-2"/>
          <w:sz w:val="24"/>
          <w:szCs w:val="24"/>
        </w:rPr>
        <w:t>Scope</w:t>
      </w:r>
    </w:p>
    <w:p w14:paraId="2C1CF34F" w14:textId="77777777" w:rsidR="003E5786" w:rsidRDefault="00623253" w:rsidP="00237D38">
      <w:pPr>
        <w:rPr>
          <w:rFonts w:ascii="Garamond" w:hAnsi="Garamond"/>
          <w:b/>
          <w:sz w:val="24"/>
          <w:szCs w:val="24"/>
        </w:rPr>
      </w:pPr>
      <w:r w:rsidRPr="00566894">
        <w:rPr>
          <w:rFonts w:ascii="Garamond" w:hAnsi="Garamond"/>
          <w:sz w:val="24"/>
          <w:szCs w:val="24"/>
        </w:rPr>
        <w:t>This policy applies to</w:t>
      </w:r>
      <w:r w:rsidR="00CB1D57">
        <w:rPr>
          <w:rFonts w:ascii="Garamond" w:hAnsi="Garamond"/>
          <w:sz w:val="24"/>
          <w:szCs w:val="24"/>
        </w:rPr>
        <w:t>:</w:t>
      </w:r>
      <w:r w:rsidRPr="00566894">
        <w:rPr>
          <w:rFonts w:ascii="Garamond" w:hAnsi="Garamond"/>
          <w:b/>
          <w:sz w:val="24"/>
          <w:szCs w:val="24"/>
        </w:rPr>
        <w:t xml:space="preserve"> </w:t>
      </w:r>
    </w:p>
    <w:p w14:paraId="6DAED7EB" w14:textId="77777777" w:rsidR="003E5786" w:rsidRDefault="003E5786" w:rsidP="00237D38">
      <w:pPr>
        <w:rPr>
          <w:rFonts w:ascii="Garamond" w:hAnsi="Garamond"/>
          <w:b/>
          <w:sz w:val="24"/>
          <w:szCs w:val="24"/>
        </w:rPr>
      </w:pPr>
    </w:p>
    <w:p w14:paraId="679E3161" w14:textId="77777777" w:rsidR="003E5786" w:rsidRDefault="009F249C" w:rsidP="00237D38">
      <w:pPr>
        <w:rPr>
          <w:rFonts w:ascii="Garamond" w:hAnsi="Garamond"/>
          <w:b/>
          <w:sz w:val="24"/>
          <w:szCs w:val="24"/>
        </w:rPr>
      </w:pPr>
      <w:sdt>
        <w:sdtPr>
          <w:rPr>
            <w:rFonts w:ascii="Garamond" w:hAnsi="Garamond"/>
            <w:b/>
            <w:sz w:val="24"/>
            <w:szCs w:val="24"/>
          </w:rPr>
          <w:id w:val="-1819716665"/>
          <w14:checkbox>
            <w14:checked w14:val="1"/>
            <w14:checkedState w14:val="2612" w14:font="MS Gothic"/>
            <w14:uncheckedState w14:val="2610" w14:font="MS Gothic"/>
          </w14:checkbox>
        </w:sdtPr>
        <w:sdtEndPr/>
        <w:sdtContent>
          <w:r w:rsidR="00625897">
            <w:rPr>
              <w:rFonts w:ascii="MS Gothic" w:eastAsia="MS Gothic" w:hAnsi="MS Gothic" w:hint="eastAsia"/>
              <w:b/>
              <w:sz w:val="24"/>
              <w:szCs w:val="24"/>
            </w:rPr>
            <w:t>☒</w:t>
          </w:r>
        </w:sdtContent>
      </w:sdt>
      <w:r w:rsidR="003E5786">
        <w:rPr>
          <w:rFonts w:ascii="Garamond" w:hAnsi="Garamond"/>
          <w:b/>
          <w:sz w:val="24"/>
          <w:szCs w:val="24"/>
        </w:rPr>
        <w:t xml:space="preserve">Medicaid </w:t>
      </w:r>
      <w:r w:rsidR="003E5786" w:rsidRPr="003E5786">
        <w:rPr>
          <w:rFonts w:ascii="Garamond" w:hAnsi="Garamond"/>
          <w:i/>
          <w:sz w:val="24"/>
          <w:szCs w:val="24"/>
        </w:rPr>
        <w:t>excluding Extended Family Planning</w:t>
      </w:r>
      <w:r w:rsidR="003E5786">
        <w:rPr>
          <w:rFonts w:ascii="Garamond" w:hAnsi="Garamond"/>
          <w:i/>
          <w:sz w:val="24"/>
          <w:szCs w:val="24"/>
        </w:rPr>
        <w:t xml:space="preserve"> (EFP)</w:t>
      </w:r>
    </w:p>
    <w:p w14:paraId="3AD93C5E" w14:textId="77777777" w:rsidR="003E5786" w:rsidRDefault="009F249C" w:rsidP="00237D38">
      <w:pPr>
        <w:rPr>
          <w:rFonts w:ascii="Garamond" w:hAnsi="Garamond"/>
          <w:b/>
          <w:sz w:val="24"/>
          <w:szCs w:val="24"/>
        </w:rPr>
      </w:pPr>
      <w:sdt>
        <w:sdtPr>
          <w:rPr>
            <w:rFonts w:ascii="Garamond" w:hAnsi="Garamond"/>
            <w:b/>
            <w:sz w:val="24"/>
            <w:szCs w:val="24"/>
          </w:rPr>
          <w:id w:val="1529907675"/>
          <w14:checkbox>
            <w14:checked w14:val="1"/>
            <w14:checkedState w14:val="2612" w14:font="MS Gothic"/>
            <w14:uncheckedState w14:val="2610" w14:font="MS Gothic"/>
          </w14:checkbox>
        </w:sdtPr>
        <w:sdtEndPr/>
        <w:sdtContent>
          <w:r w:rsidR="00625897">
            <w:rPr>
              <w:rFonts w:ascii="MS Gothic" w:eastAsia="MS Gothic" w:hAnsi="MS Gothic" w:hint="eastAsia"/>
              <w:b/>
              <w:sz w:val="24"/>
              <w:szCs w:val="24"/>
            </w:rPr>
            <w:t>☒</w:t>
          </w:r>
        </w:sdtContent>
      </w:sdt>
      <w:r w:rsidR="00623253" w:rsidRPr="006F04B1">
        <w:rPr>
          <w:rFonts w:ascii="Garamond" w:hAnsi="Garamond"/>
          <w:b/>
          <w:sz w:val="24"/>
          <w:szCs w:val="24"/>
        </w:rPr>
        <w:t>INTEGRITY</w:t>
      </w:r>
    </w:p>
    <w:p w14:paraId="3AEDABBB" w14:textId="77777777" w:rsidR="008E3212" w:rsidRDefault="009F249C" w:rsidP="00237D38">
      <w:pPr>
        <w:rPr>
          <w:rFonts w:ascii="Garamond" w:hAnsi="Garamond"/>
          <w:sz w:val="24"/>
          <w:szCs w:val="24"/>
        </w:rPr>
      </w:pPr>
      <w:sdt>
        <w:sdtPr>
          <w:rPr>
            <w:rFonts w:ascii="Garamond" w:hAnsi="Garamond"/>
            <w:b/>
            <w:sz w:val="24"/>
            <w:szCs w:val="24"/>
          </w:rPr>
          <w:id w:val="86736373"/>
          <w14:checkbox>
            <w14:checked w14:val="1"/>
            <w14:checkedState w14:val="2612" w14:font="MS Gothic"/>
            <w14:uncheckedState w14:val="2610" w14:font="MS Gothic"/>
          </w14:checkbox>
        </w:sdtPr>
        <w:sdtEndPr/>
        <w:sdtContent>
          <w:r w:rsidR="00625897">
            <w:rPr>
              <w:rFonts w:ascii="MS Gothic" w:eastAsia="MS Gothic" w:hAnsi="MS Gothic" w:hint="eastAsia"/>
              <w:b/>
              <w:sz w:val="24"/>
              <w:szCs w:val="24"/>
            </w:rPr>
            <w:t>☒</w:t>
          </w:r>
        </w:sdtContent>
      </w:sdt>
      <w:r w:rsidR="00BC7FF7" w:rsidRPr="006F04B1">
        <w:rPr>
          <w:rFonts w:ascii="Garamond" w:hAnsi="Garamond"/>
          <w:b/>
          <w:sz w:val="24"/>
          <w:szCs w:val="24"/>
        </w:rPr>
        <w:t>Commercial</w:t>
      </w:r>
      <w:r w:rsidR="00623253" w:rsidRPr="006F04B1">
        <w:rPr>
          <w:rFonts w:ascii="Garamond" w:hAnsi="Garamond"/>
          <w:b/>
          <w:sz w:val="24"/>
          <w:szCs w:val="24"/>
        </w:rPr>
        <w:t xml:space="preserve"> </w:t>
      </w:r>
    </w:p>
    <w:p w14:paraId="4AE1E6A5" w14:textId="77777777" w:rsidR="003E5786" w:rsidRDefault="003E5786" w:rsidP="003E5786">
      <w:pPr>
        <w:ind w:right="29"/>
        <w:textAlignment w:val="baseline"/>
        <w:rPr>
          <w:rFonts w:ascii="Garamond" w:eastAsia="Garamond" w:hAnsi="Garamond"/>
          <w:color w:val="000000"/>
          <w:spacing w:val="-2"/>
          <w:sz w:val="24"/>
          <w:szCs w:val="24"/>
        </w:rPr>
      </w:pPr>
    </w:p>
    <w:p w14:paraId="575A2D3E" w14:textId="77777777" w:rsidR="00ED17A3" w:rsidRPr="00ED17A3" w:rsidRDefault="00ED17A3" w:rsidP="00ED17A3">
      <w:pPr>
        <w:spacing w:line="360" w:lineRule="auto"/>
        <w:ind w:right="29"/>
        <w:textAlignment w:val="baseline"/>
        <w:rPr>
          <w:rFonts w:ascii="Garamond" w:eastAsia="Garamond" w:hAnsi="Garamond"/>
          <w:b/>
          <w:color w:val="2B8444"/>
          <w:spacing w:val="-2"/>
          <w:sz w:val="24"/>
          <w:szCs w:val="24"/>
        </w:rPr>
      </w:pPr>
      <w:r w:rsidRPr="00ED17A3">
        <w:rPr>
          <w:rFonts w:ascii="Garamond" w:eastAsia="Garamond" w:hAnsi="Garamond"/>
          <w:b/>
          <w:color w:val="2B8444"/>
          <w:spacing w:val="-2"/>
          <w:sz w:val="24"/>
          <w:szCs w:val="24"/>
        </w:rPr>
        <w:t>Prerequisites</w:t>
      </w:r>
    </w:p>
    <w:p w14:paraId="3986938B" w14:textId="77777777" w:rsidR="002067F7" w:rsidRDefault="003E5786" w:rsidP="002067F7">
      <w:pPr>
        <w:ind w:right="29"/>
        <w:textAlignment w:val="baseline"/>
        <w:rPr>
          <w:rFonts w:ascii="Garamond" w:eastAsia="Garamond" w:hAnsi="Garamond"/>
          <w:color w:val="000000"/>
          <w:spacing w:val="-2"/>
          <w:sz w:val="24"/>
          <w:szCs w:val="24"/>
        </w:rPr>
      </w:pPr>
      <w:r w:rsidRPr="003E5786">
        <w:rPr>
          <w:rFonts w:ascii="Garamond" w:eastAsia="Garamond" w:hAnsi="Garamond"/>
          <w:color w:val="000000"/>
          <w:spacing w:val="-2"/>
          <w:sz w:val="24"/>
          <w:szCs w:val="24"/>
        </w:rPr>
        <w:t xml:space="preserve">All services must be medically necessary to qualify for reimbursement. Neighborhood may use the following criteria </w:t>
      </w:r>
      <w:r w:rsidR="002067F7">
        <w:rPr>
          <w:rFonts w:ascii="Garamond" w:eastAsia="Garamond" w:hAnsi="Garamond"/>
          <w:color w:val="000000"/>
          <w:spacing w:val="-2"/>
          <w:sz w:val="24"/>
          <w:szCs w:val="24"/>
        </w:rPr>
        <w:t>to determine medical necessity:</w:t>
      </w:r>
    </w:p>
    <w:p w14:paraId="7AD7042C" w14:textId="77777777" w:rsidR="002067F7" w:rsidRDefault="003E5786" w:rsidP="002067F7">
      <w:pPr>
        <w:pStyle w:val="ListParagraph"/>
        <w:numPr>
          <w:ilvl w:val="0"/>
          <w:numId w:val="9"/>
        </w:numPr>
        <w:spacing w:after="120"/>
        <w:ind w:right="29"/>
        <w:textAlignment w:val="baseline"/>
        <w:rPr>
          <w:rFonts w:ascii="Garamond" w:eastAsia="Garamond" w:hAnsi="Garamond"/>
          <w:color w:val="000000"/>
          <w:spacing w:val="-2"/>
          <w:sz w:val="24"/>
          <w:szCs w:val="24"/>
        </w:rPr>
      </w:pPr>
      <w:r w:rsidRPr="002067F7">
        <w:rPr>
          <w:rFonts w:ascii="Garamond" w:eastAsia="Garamond" w:hAnsi="Garamond"/>
          <w:color w:val="000000"/>
          <w:spacing w:val="-2"/>
          <w:sz w:val="24"/>
          <w:szCs w:val="24"/>
        </w:rPr>
        <w:t>Nation</w:t>
      </w:r>
      <w:r w:rsidR="002067F7">
        <w:rPr>
          <w:rFonts w:ascii="Garamond" w:eastAsia="Garamond" w:hAnsi="Garamond"/>
          <w:color w:val="000000"/>
          <w:spacing w:val="-2"/>
          <w:sz w:val="24"/>
          <w:szCs w:val="24"/>
        </w:rPr>
        <w:t>al Coverage Determination (NCD)</w:t>
      </w:r>
    </w:p>
    <w:p w14:paraId="25C81388" w14:textId="77777777" w:rsidR="002067F7" w:rsidRDefault="003E5786" w:rsidP="002067F7">
      <w:pPr>
        <w:pStyle w:val="ListParagraph"/>
        <w:numPr>
          <w:ilvl w:val="0"/>
          <w:numId w:val="9"/>
        </w:numPr>
        <w:spacing w:after="120"/>
        <w:ind w:right="29"/>
        <w:textAlignment w:val="baseline"/>
        <w:rPr>
          <w:rFonts w:ascii="Garamond" w:eastAsia="Garamond" w:hAnsi="Garamond"/>
          <w:color w:val="000000"/>
          <w:spacing w:val="-2"/>
          <w:sz w:val="24"/>
          <w:szCs w:val="24"/>
        </w:rPr>
      </w:pPr>
      <w:r w:rsidRPr="002067F7">
        <w:rPr>
          <w:rFonts w:ascii="Garamond" w:eastAsia="Garamond" w:hAnsi="Garamond"/>
          <w:color w:val="000000"/>
          <w:spacing w:val="-2"/>
          <w:sz w:val="24"/>
          <w:szCs w:val="24"/>
        </w:rPr>
        <w:t>Loc</w:t>
      </w:r>
      <w:r w:rsidR="002067F7">
        <w:rPr>
          <w:rFonts w:ascii="Garamond" w:eastAsia="Garamond" w:hAnsi="Garamond"/>
          <w:color w:val="000000"/>
          <w:spacing w:val="-2"/>
          <w:sz w:val="24"/>
          <w:szCs w:val="24"/>
        </w:rPr>
        <w:t>al Coverage Determination (LCD)</w:t>
      </w:r>
    </w:p>
    <w:p w14:paraId="07A21284" w14:textId="77777777" w:rsidR="002067F7" w:rsidRDefault="003E5786" w:rsidP="002067F7">
      <w:pPr>
        <w:pStyle w:val="ListParagraph"/>
        <w:numPr>
          <w:ilvl w:val="0"/>
          <w:numId w:val="9"/>
        </w:numPr>
        <w:spacing w:after="120"/>
        <w:ind w:right="29"/>
        <w:textAlignment w:val="baseline"/>
        <w:rPr>
          <w:rFonts w:ascii="Garamond" w:eastAsia="Garamond" w:hAnsi="Garamond"/>
          <w:color w:val="000000"/>
          <w:spacing w:val="-2"/>
          <w:sz w:val="24"/>
          <w:szCs w:val="24"/>
        </w:rPr>
      </w:pPr>
      <w:r w:rsidRPr="002067F7">
        <w:rPr>
          <w:rFonts w:ascii="Garamond" w:eastAsia="Garamond" w:hAnsi="Garamond"/>
          <w:color w:val="000000"/>
          <w:spacing w:val="-2"/>
          <w:sz w:val="24"/>
          <w:szCs w:val="24"/>
        </w:rPr>
        <w:t>Industry acce</w:t>
      </w:r>
      <w:r w:rsidR="002067F7">
        <w:rPr>
          <w:rFonts w:ascii="Garamond" w:eastAsia="Garamond" w:hAnsi="Garamond"/>
          <w:color w:val="000000"/>
          <w:spacing w:val="-2"/>
          <w:sz w:val="24"/>
          <w:szCs w:val="24"/>
        </w:rPr>
        <w:t>pted criteria such as Interqual</w:t>
      </w:r>
    </w:p>
    <w:p w14:paraId="6FACF7B7" w14:textId="77777777" w:rsidR="002067F7" w:rsidRDefault="00CB1D57" w:rsidP="002067F7">
      <w:pPr>
        <w:pStyle w:val="ListParagraph"/>
        <w:numPr>
          <w:ilvl w:val="0"/>
          <w:numId w:val="9"/>
        </w:numPr>
        <w:spacing w:after="120"/>
        <w:ind w:right="29"/>
        <w:textAlignment w:val="baseline"/>
        <w:rPr>
          <w:rFonts w:ascii="Garamond" w:eastAsia="Garamond" w:hAnsi="Garamond"/>
          <w:color w:val="000000"/>
          <w:spacing w:val="-2"/>
          <w:sz w:val="24"/>
          <w:szCs w:val="24"/>
        </w:rPr>
      </w:pPr>
      <w:r>
        <w:rPr>
          <w:rFonts w:ascii="Garamond" w:eastAsia="Garamond" w:hAnsi="Garamond"/>
          <w:color w:val="000000"/>
          <w:spacing w:val="-2"/>
          <w:sz w:val="24"/>
          <w:szCs w:val="24"/>
        </w:rPr>
        <w:t>Rhode Island Executive Office of Health and Human Services (</w:t>
      </w:r>
      <w:r w:rsidR="002067F7">
        <w:rPr>
          <w:rFonts w:ascii="Garamond" w:eastAsia="Garamond" w:hAnsi="Garamond"/>
          <w:color w:val="000000"/>
          <w:spacing w:val="-2"/>
          <w:sz w:val="24"/>
          <w:szCs w:val="24"/>
        </w:rPr>
        <w:t>EOHHS</w:t>
      </w:r>
      <w:r>
        <w:rPr>
          <w:rFonts w:ascii="Garamond" w:eastAsia="Garamond" w:hAnsi="Garamond"/>
          <w:color w:val="000000"/>
          <w:spacing w:val="-2"/>
          <w:sz w:val="24"/>
          <w:szCs w:val="24"/>
        </w:rPr>
        <w:t>)</w:t>
      </w:r>
      <w:r w:rsidR="002067F7">
        <w:rPr>
          <w:rFonts w:ascii="Garamond" w:eastAsia="Garamond" w:hAnsi="Garamond"/>
          <w:color w:val="000000"/>
          <w:spacing w:val="-2"/>
          <w:sz w:val="24"/>
          <w:szCs w:val="24"/>
        </w:rPr>
        <w:t xml:space="preserve"> recommendations</w:t>
      </w:r>
    </w:p>
    <w:p w14:paraId="59A8164C" w14:textId="77777777" w:rsidR="002067F7" w:rsidRDefault="003E5786" w:rsidP="002067F7">
      <w:pPr>
        <w:pStyle w:val="ListParagraph"/>
        <w:numPr>
          <w:ilvl w:val="0"/>
          <w:numId w:val="9"/>
        </w:numPr>
        <w:spacing w:after="120"/>
        <w:ind w:right="29"/>
        <w:textAlignment w:val="baseline"/>
        <w:rPr>
          <w:rFonts w:ascii="Garamond" w:eastAsia="Garamond" w:hAnsi="Garamond"/>
          <w:color w:val="000000"/>
          <w:spacing w:val="-2"/>
          <w:sz w:val="24"/>
          <w:szCs w:val="24"/>
        </w:rPr>
      </w:pPr>
      <w:r w:rsidRPr="002067F7">
        <w:rPr>
          <w:rFonts w:ascii="Garamond" w:eastAsia="Garamond" w:hAnsi="Garamond"/>
          <w:color w:val="000000"/>
          <w:spacing w:val="-2"/>
          <w:sz w:val="24"/>
          <w:szCs w:val="24"/>
        </w:rPr>
        <w:t xml:space="preserve">Clinical Medical Policies (CMP) </w:t>
      </w:r>
    </w:p>
    <w:p w14:paraId="206C5454" w14:textId="77777777" w:rsidR="002067F7" w:rsidRDefault="003E5786" w:rsidP="002067F7">
      <w:pPr>
        <w:spacing w:after="120"/>
        <w:ind w:right="29"/>
        <w:textAlignment w:val="baseline"/>
        <w:rPr>
          <w:rFonts w:ascii="Garamond" w:eastAsia="Garamond" w:hAnsi="Garamond"/>
          <w:color w:val="000000"/>
          <w:spacing w:val="-2"/>
          <w:sz w:val="24"/>
          <w:szCs w:val="24"/>
        </w:rPr>
      </w:pPr>
      <w:r w:rsidRPr="002067F7">
        <w:rPr>
          <w:rFonts w:ascii="Garamond" w:eastAsia="Garamond" w:hAnsi="Garamond"/>
          <w:color w:val="000000"/>
          <w:spacing w:val="-2"/>
          <w:sz w:val="24"/>
          <w:szCs w:val="24"/>
        </w:rPr>
        <w:t xml:space="preserve">It is the provider’s responsibility to verify eligibility, coverage and authorization criteria prior to rendering services. </w:t>
      </w:r>
    </w:p>
    <w:p w14:paraId="76EBD183" w14:textId="77777777" w:rsidR="002067F7" w:rsidRDefault="003E5786" w:rsidP="002067F7">
      <w:pPr>
        <w:ind w:right="29"/>
        <w:textAlignment w:val="baseline"/>
        <w:rPr>
          <w:rFonts w:ascii="Garamond" w:eastAsia="Garamond" w:hAnsi="Garamond"/>
          <w:color w:val="000000"/>
          <w:spacing w:val="-2"/>
          <w:sz w:val="24"/>
          <w:szCs w:val="24"/>
        </w:rPr>
      </w:pPr>
      <w:r w:rsidRPr="002067F7">
        <w:rPr>
          <w:rFonts w:ascii="Garamond" w:eastAsia="Garamond" w:hAnsi="Garamond"/>
          <w:color w:val="000000"/>
          <w:spacing w:val="-2"/>
          <w:sz w:val="24"/>
          <w:szCs w:val="24"/>
        </w:rPr>
        <w:t>For mo</w:t>
      </w:r>
      <w:r w:rsidR="002067F7">
        <w:rPr>
          <w:rFonts w:ascii="Garamond" w:eastAsia="Garamond" w:hAnsi="Garamond"/>
          <w:color w:val="000000"/>
          <w:spacing w:val="-2"/>
          <w:sz w:val="24"/>
          <w:szCs w:val="24"/>
        </w:rPr>
        <w:t>re information please refer to:</w:t>
      </w:r>
    </w:p>
    <w:p w14:paraId="4FD174DE" w14:textId="77777777" w:rsidR="002067F7" w:rsidRDefault="003E5786" w:rsidP="002067F7">
      <w:pPr>
        <w:pStyle w:val="ListParagraph"/>
        <w:numPr>
          <w:ilvl w:val="0"/>
          <w:numId w:val="10"/>
        </w:numPr>
        <w:spacing w:after="120"/>
        <w:ind w:right="29"/>
        <w:textAlignment w:val="baseline"/>
        <w:rPr>
          <w:rFonts w:ascii="Garamond" w:eastAsia="Garamond" w:hAnsi="Garamond"/>
          <w:color w:val="000000"/>
          <w:spacing w:val="-2"/>
          <w:sz w:val="24"/>
          <w:szCs w:val="24"/>
        </w:rPr>
      </w:pPr>
      <w:r w:rsidRPr="002067F7">
        <w:rPr>
          <w:rFonts w:ascii="Garamond" w:eastAsia="Garamond" w:hAnsi="Garamond"/>
          <w:color w:val="000000"/>
          <w:spacing w:val="-2"/>
          <w:sz w:val="24"/>
          <w:szCs w:val="24"/>
        </w:rPr>
        <w:t xml:space="preserve">Neighborhood’s plan specific </w:t>
      </w:r>
      <w:hyperlink r:id="rId8" w:history="1">
        <w:r w:rsidRPr="002067F7">
          <w:rPr>
            <w:rStyle w:val="Hyperlink"/>
            <w:rFonts w:ascii="Garamond" w:eastAsia="Garamond" w:hAnsi="Garamond"/>
            <w:spacing w:val="-2"/>
            <w:sz w:val="24"/>
            <w:szCs w:val="24"/>
          </w:rPr>
          <w:t>Prior Authoriza</w:t>
        </w:r>
        <w:r w:rsidR="002067F7" w:rsidRPr="002067F7">
          <w:rPr>
            <w:rStyle w:val="Hyperlink"/>
            <w:rFonts w:ascii="Garamond" w:eastAsia="Garamond" w:hAnsi="Garamond"/>
            <w:spacing w:val="-2"/>
            <w:sz w:val="24"/>
            <w:szCs w:val="24"/>
          </w:rPr>
          <w:t>tion Reference page</w:t>
        </w:r>
      </w:hyperlink>
      <w:r w:rsidR="002067F7">
        <w:rPr>
          <w:rFonts w:ascii="Garamond" w:eastAsia="Garamond" w:hAnsi="Garamond"/>
          <w:color w:val="000000"/>
          <w:spacing w:val="-2"/>
          <w:sz w:val="24"/>
          <w:szCs w:val="24"/>
        </w:rPr>
        <w:t>.</w:t>
      </w:r>
    </w:p>
    <w:p w14:paraId="317D403E" w14:textId="77777777" w:rsidR="002067F7" w:rsidRDefault="003E5786" w:rsidP="002067F7">
      <w:pPr>
        <w:pStyle w:val="ListParagraph"/>
        <w:numPr>
          <w:ilvl w:val="0"/>
          <w:numId w:val="10"/>
        </w:numPr>
        <w:spacing w:after="120"/>
        <w:ind w:right="29"/>
        <w:textAlignment w:val="baseline"/>
        <w:rPr>
          <w:rFonts w:ascii="Garamond" w:eastAsia="Garamond" w:hAnsi="Garamond"/>
          <w:color w:val="000000"/>
          <w:spacing w:val="-2"/>
          <w:sz w:val="24"/>
          <w:szCs w:val="24"/>
        </w:rPr>
      </w:pPr>
      <w:r w:rsidRPr="002067F7">
        <w:rPr>
          <w:rFonts w:ascii="Garamond" w:eastAsia="Garamond" w:hAnsi="Garamond"/>
          <w:color w:val="000000"/>
          <w:spacing w:val="-2"/>
          <w:sz w:val="24"/>
          <w:szCs w:val="24"/>
        </w:rPr>
        <w:t xml:space="preserve">Neighborhood’s </w:t>
      </w:r>
      <w:hyperlink r:id="rId9" w:history="1">
        <w:r w:rsidRPr="002067F7">
          <w:rPr>
            <w:rStyle w:val="Hyperlink"/>
            <w:rFonts w:ascii="Garamond" w:eastAsia="Garamond" w:hAnsi="Garamond"/>
            <w:spacing w:val="-2"/>
            <w:sz w:val="24"/>
            <w:szCs w:val="24"/>
          </w:rPr>
          <w:t>Clinical Medical Policies</w:t>
        </w:r>
      </w:hyperlink>
      <w:r w:rsidRPr="002067F7">
        <w:rPr>
          <w:rFonts w:ascii="Garamond" w:eastAsia="Garamond" w:hAnsi="Garamond"/>
          <w:color w:val="000000"/>
          <w:spacing w:val="-2"/>
          <w:sz w:val="24"/>
          <w:szCs w:val="24"/>
        </w:rPr>
        <w:t xml:space="preserve">. </w:t>
      </w:r>
    </w:p>
    <w:p w14:paraId="2D164AF7" w14:textId="77777777" w:rsidR="00ED17A3" w:rsidRPr="002067F7" w:rsidRDefault="003E5786" w:rsidP="002067F7">
      <w:pPr>
        <w:spacing w:after="120"/>
        <w:ind w:right="29"/>
        <w:textAlignment w:val="baseline"/>
        <w:rPr>
          <w:rFonts w:ascii="Garamond" w:eastAsia="Garamond" w:hAnsi="Garamond"/>
          <w:color w:val="000000"/>
          <w:spacing w:val="-2"/>
          <w:sz w:val="24"/>
          <w:szCs w:val="24"/>
        </w:rPr>
      </w:pPr>
      <w:r w:rsidRPr="002067F7">
        <w:rPr>
          <w:rFonts w:ascii="Garamond" w:eastAsia="Garamond" w:hAnsi="Garamond"/>
          <w:color w:val="000000"/>
          <w:spacing w:val="-2"/>
          <w:sz w:val="24"/>
          <w:szCs w:val="24"/>
        </w:rPr>
        <w:t>Please contact Provider Services at 1-800-963-1001</w:t>
      </w:r>
      <w:r w:rsidR="00E76D4C">
        <w:rPr>
          <w:rFonts w:ascii="Garamond" w:eastAsia="Garamond" w:hAnsi="Garamond"/>
          <w:color w:val="000000"/>
          <w:spacing w:val="-2"/>
          <w:sz w:val="24"/>
          <w:szCs w:val="24"/>
        </w:rPr>
        <w:t xml:space="preserve"> </w:t>
      </w:r>
      <w:r w:rsidRPr="002067F7">
        <w:rPr>
          <w:rFonts w:ascii="Garamond" w:eastAsia="Garamond" w:hAnsi="Garamond"/>
          <w:color w:val="000000"/>
          <w:spacing w:val="-2"/>
          <w:sz w:val="24"/>
          <w:szCs w:val="24"/>
        </w:rPr>
        <w:t xml:space="preserve">for </w:t>
      </w:r>
      <w:r w:rsidR="00E76D4C">
        <w:rPr>
          <w:rFonts w:ascii="Garamond" w:eastAsia="Garamond" w:hAnsi="Garamond"/>
          <w:color w:val="000000"/>
          <w:spacing w:val="-2"/>
          <w:sz w:val="24"/>
          <w:szCs w:val="24"/>
        </w:rPr>
        <w:t>questions related to this policy</w:t>
      </w:r>
      <w:r w:rsidRPr="002067F7">
        <w:rPr>
          <w:rFonts w:ascii="Garamond" w:eastAsia="Garamond" w:hAnsi="Garamond"/>
          <w:color w:val="000000"/>
          <w:spacing w:val="-2"/>
          <w:sz w:val="24"/>
          <w:szCs w:val="24"/>
        </w:rPr>
        <w:t>.</w:t>
      </w:r>
    </w:p>
    <w:p w14:paraId="4B46A14C" w14:textId="77777777" w:rsidR="00CA214D" w:rsidRDefault="00CA214D" w:rsidP="00CA214D">
      <w:pPr>
        <w:spacing w:after="120"/>
        <w:ind w:right="29"/>
        <w:textAlignment w:val="baseline"/>
        <w:rPr>
          <w:rFonts w:ascii="Garamond" w:eastAsia="Garamond" w:hAnsi="Garamond"/>
          <w:b/>
          <w:color w:val="2B8444"/>
          <w:spacing w:val="-2"/>
          <w:sz w:val="24"/>
          <w:szCs w:val="24"/>
        </w:rPr>
      </w:pPr>
      <w:r>
        <w:rPr>
          <w:rFonts w:ascii="Garamond" w:eastAsia="Garamond" w:hAnsi="Garamond"/>
          <w:b/>
          <w:color w:val="2B8444"/>
          <w:spacing w:val="-2"/>
          <w:sz w:val="24"/>
          <w:szCs w:val="24"/>
        </w:rPr>
        <w:t>Reimbursement Requirements</w:t>
      </w:r>
    </w:p>
    <w:p w14:paraId="6FA6C9F5" w14:textId="77777777" w:rsidR="009D4ACC" w:rsidRPr="009D4ACC" w:rsidRDefault="009D4ACC" w:rsidP="009D4ACC">
      <w:pPr>
        <w:contextualSpacing/>
        <w:rPr>
          <w:rFonts w:ascii="Garamond" w:eastAsiaTheme="minorHAnsi" w:hAnsi="Garamond"/>
          <w:sz w:val="24"/>
        </w:rPr>
      </w:pPr>
      <w:r w:rsidRPr="009D4ACC">
        <w:rPr>
          <w:rFonts w:ascii="Garamond" w:eastAsiaTheme="minorHAnsi" w:hAnsi="Garamond"/>
          <w:sz w:val="24"/>
        </w:rPr>
        <w:t xml:space="preserve">These guidelines are for women at </w:t>
      </w:r>
      <w:r w:rsidRPr="009D4ACC">
        <w:rPr>
          <w:rFonts w:ascii="Garamond" w:eastAsiaTheme="minorHAnsi" w:hAnsi="Garamond"/>
          <w:b/>
          <w:sz w:val="24"/>
        </w:rPr>
        <w:t>average risk</w:t>
      </w:r>
      <w:r w:rsidRPr="009D4ACC">
        <w:rPr>
          <w:rFonts w:ascii="Garamond" w:eastAsiaTheme="minorHAnsi" w:hAnsi="Garamond"/>
          <w:sz w:val="24"/>
        </w:rPr>
        <w:t xml:space="preserve"> for breast cancer. For screening purposes, a woman is considered to be at average risk if she doesn’t have a personal history of breast cancer, a strong family history of breast cancer, or a genetic mutation known to increase risk of breast cancer (such as in a BRCA gene), and has not had chest radiation therapy before the age of 30. (See below for guidelines for women at high risk.)</w:t>
      </w:r>
    </w:p>
    <w:p w14:paraId="6C9EA4AD" w14:textId="77777777" w:rsidR="009D4ACC" w:rsidRPr="009D4ACC" w:rsidRDefault="009D4ACC" w:rsidP="009D4ACC">
      <w:pPr>
        <w:contextualSpacing/>
        <w:rPr>
          <w:rFonts w:ascii="Garamond" w:eastAsiaTheme="minorHAnsi" w:hAnsi="Garamond"/>
          <w:sz w:val="24"/>
        </w:rPr>
      </w:pPr>
    </w:p>
    <w:p w14:paraId="1D20779D" w14:textId="77777777" w:rsidR="009D4ACC" w:rsidRPr="009D4ACC" w:rsidRDefault="009D4ACC" w:rsidP="00867751">
      <w:pPr>
        <w:pStyle w:val="ListParagraph"/>
        <w:numPr>
          <w:ilvl w:val="0"/>
          <w:numId w:val="11"/>
        </w:numPr>
        <w:rPr>
          <w:rFonts w:ascii="Garamond" w:eastAsiaTheme="minorHAnsi" w:hAnsi="Garamond"/>
          <w:sz w:val="24"/>
        </w:rPr>
      </w:pPr>
      <w:r w:rsidRPr="009D4ACC">
        <w:rPr>
          <w:rFonts w:ascii="Garamond" w:eastAsiaTheme="minorHAnsi" w:hAnsi="Garamond"/>
          <w:sz w:val="24"/>
        </w:rPr>
        <w:t>Women between 40 and 44 have the option to start screening with a mammogram every year.</w:t>
      </w:r>
    </w:p>
    <w:p w14:paraId="019971C5" w14:textId="77777777" w:rsidR="009D4ACC" w:rsidRPr="009D4ACC" w:rsidRDefault="009D4ACC" w:rsidP="009D4ACC">
      <w:pPr>
        <w:pStyle w:val="ListParagraph"/>
        <w:numPr>
          <w:ilvl w:val="0"/>
          <w:numId w:val="11"/>
        </w:numPr>
        <w:rPr>
          <w:rFonts w:ascii="Garamond" w:eastAsiaTheme="minorHAnsi" w:hAnsi="Garamond"/>
          <w:sz w:val="24"/>
        </w:rPr>
      </w:pPr>
      <w:r w:rsidRPr="009D4ACC">
        <w:rPr>
          <w:rFonts w:ascii="Garamond" w:eastAsiaTheme="minorHAnsi" w:hAnsi="Garamond"/>
          <w:sz w:val="24"/>
        </w:rPr>
        <w:t>Women 45 to 54 should get mammograms every year.</w:t>
      </w:r>
    </w:p>
    <w:p w14:paraId="76AE3ABA" w14:textId="77777777" w:rsidR="006F04B1" w:rsidRPr="009D4ACC" w:rsidRDefault="009D4ACC" w:rsidP="009D4ACC">
      <w:pPr>
        <w:pStyle w:val="ListParagraph"/>
        <w:numPr>
          <w:ilvl w:val="0"/>
          <w:numId w:val="11"/>
        </w:numPr>
        <w:rPr>
          <w:rFonts w:ascii="Garamond" w:eastAsiaTheme="minorHAnsi" w:hAnsi="Garamond"/>
          <w:sz w:val="24"/>
        </w:rPr>
      </w:pPr>
      <w:r w:rsidRPr="009D4ACC">
        <w:rPr>
          <w:rFonts w:ascii="Garamond" w:eastAsiaTheme="minorHAnsi" w:hAnsi="Garamond"/>
          <w:sz w:val="24"/>
        </w:rPr>
        <w:t>Women 55 and older can switch to a mammogram every other year, or they can choose to continue yearly mammograms. Screening should continue as long as a woman is in good health and is expected to live at least 10 more years.</w:t>
      </w:r>
    </w:p>
    <w:p w14:paraId="150FD933" w14:textId="77777777" w:rsidR="009D4ACC" w:rsidRDefault="009D4ACC" w:rsidP="006110A5">
      <w:pPr>
        <w:spacing w:after="120"/>
        <w:ind w:right="29"/>
        <w:textAlignment w:val="baseline"/>
        <w:rPr>
          <w:rFonts w:ascii="Garamond" w:eastAsia="Garamond" w:hAnsi="Garamond"/>
          <w:b/>
          <w:color w:val="2B8444"/>
          <w:spacing w:val="-2"/>
          <w:sz w:val="24"/>
          <w:szCs w:val="24"/>
        </w:rPr>
      </w:pPr>
    </w:p>
    <w:p w14:paraId="1C0C40A3" w14:textId="0C44D30E" w:rsidR="009D4ACC" w:rsidRPr="009D4ACC" w:rsidRDefault="009D4ACC" w:rsidP="009D4ACC">
      <w:pPr>
        <w:spacing w:after="120"/>
        <w:ind w:right="29"/>
        <w:textAlignment w:val="baseline"/>
        <w:rPr>
          <w:rFonts w:ascii="Garamond" w:eastAsia="Garamond" w:hAnsi="Garamond"/>
          <w:spacing w:val="-2"/>
          <w:sz w:val="24"/>
          <w:szCs w:val="24"/>
        </w:rPr>
      </w:pPr>
      <w:r w:rsidRPr="009D4ACC">
        <w:rPr>
          <w:rFonts w:ascii="Garamond" w:eastAsia="Garamond" w:hAnsi="Garamond"/>
          <w:spacing w:val="-2"/>
          <w:sz w:val="24"/>
          <w:szCs w:val="24"/>
        </w:rPr>
        <w:t>Two screening mammograms per year are covered when recommended by a</w:t>
      </w:r>
      <w:r>
        <w:rPr>
          <w:rFonts w:ascii="Garamond" w:eastAsia="Garamond" w:hAnsi="Garamond"/>
          <w:spacing w:val="-2"/>
          <w:sz w:val="24"/>
          <w:szCs w:val="24"/>
        </w:rPr>
        <w:t xml:space="preserve"> </w:t>
      </w:r>
      <w:r w:rsidRPr="009D4ACC">
        <w:rPr>
          <w:rFonts w:ascii="Garamond" w:eastAsia="Garamond" w:hAnsi="Garamond"/>
          <w:spacing w:val="-2"/>
          <w:sz w:val="24"/>
          <w:szCs w:val="24"/>
        </w:rPr>
        <w:t xml:space="preserve">physician for women </w:t>
      </w:r>
      <w:r>
        <w:rPr>
          <w:rFonts w:ascii="Garamond" w:eastAsia="Garamond" w:hAnsi="Garamond"/>
          <w:spacing w:val="-2"/>
          <w:sz w:val="24"/>
          <w:szCs w:val="24"/>
        </w:rPr>
        <w:t>w</w:t>
      </w:r>
      <w:r w:rsidRPr="009D4ACC">
        <w:rPr>
          <w:rFonts w:ascii="Garamond" w:eastAsia="Garamond" w:hAnsi="Garamond"/>
          <w:spacing w:val="-2"/>
          <w:sz w:val="24"/>
          <w:szCs w:val="24"/>
        </w:rPr>
        <w:t>ho have been treated for breast cancer within the last five</w:t>
      </w:r>
      <w:r>
        <w:rPr>
          <w:rFonts w:ascii="Garamond" w:eastAsia="Garamond" w:hAnsi="Garamond"/>
          <w:spacing w:val="-2"/>
          <w:sz w:val="24"/>
          <w:szCs w:val="24"/>
        </w:rPr>
        <w:t xml:space="preserve"> </w:t>
      </w:r>
      <w:r w:rsidRPr="009D4ACC">
        <w:rPr>
          <w:rFonts w:ascii="Garamond" w:eastAsia="Garamond" w:hAnsi="Garamond"/>
          <w:spacing w:val="-2"/>
          <w:sz w:val="24"/>
          <w:szCs w:val="24"/>
        </w:rPr>
        <w:t xml:space="preserve">years or are at </w:t>
      </w:r>
      <w:r w:rsidRPr="009D4ACC">
        <w:rPr>
          <w:rFonts w:ascii="Garamond" w:eastAsia="Garamond" w:hAnsi="Garamond"/>
          <w:b/>
          <w:spacing w:val="-2"/>
          <w:sz w:val="24"/>
          <w:szCs w:val="24"/>
        </w:rPr>
        <w:t>high risk</w:t>
      </w:r>
      <w:r w:rsidRPr="009D4ACC">
        <w:rPr>
          <w:rFonts w:ascii="Garamond" w:eastAsia="Garamond" w:hAnsi="Garamond"/>
          <w:spacing w:val="-2"/>
          <w:sz w:val="24"/>
          <w:szCs w:val="24"/>
        </w:rPr>
        <w:t xml:space="preserve"> of developing breast cancer due to genetic predisposition</w:t>
      </w:r>
      <w:r>
        <w:rPr>
          <w:rFonts w:ascii="Garamond" w:eastAsia="Garamond" w:hAnsi="Garamond"/>
          <w:spacing w:val="-2"/>
          <w:sz w:val="24"/>
          <w:szCs w:val="24"/>
        </w:rPr>
        <w:t xml:space="preserve"> </w:t>
      </w:r>
      <w:r w:rsidRPr="009D4ACC">
        <w:rPr>
          <w:rFonts w:ascii="Garamond" w:eastAsia="Garamond" w:hAnsi="Garamond"/>
          <w:spacing w:val="-2"/>
          <w:sz w:val="24"/>
          <w:szCs w:val="24"/>
        </w:rPr>
        <w:t>(BRCA gene mutation or multiple first degree relatives), high risk lesion on prior</w:t>
      </w:r>
      <w:r>
        <w:rPr>
          <w:rFonts w:ascii="Garamond" w:eastAsia="Garamond" w:hAnsi="Garamond"/>
          <w:spacing w:val="-2"/>
          <w:sz w:val="24"/>
          <w:szCs w:val="24"/>
        </w:rPr>
        <w:t xml:space="preserve"> </w:t>
      </w:r>
      <w:r w:rsidRPr="009D4ACC">
        <w:rPr>
          <w:rFonts w:ascii="Garamond" w:eastAsia="Garamond" w:hAnsi="Garamond"/>
          <w:spacing w:val="-2"/>
          <w:sz w:val="24"/>
          <w:szCs w:val="24"/>
        </w:rPr>
        <w:t>biopsy (lobular carcinoma in situ), or atypical ductal hyperplasia.</w:t>
      </w:r>
      <w:r w:rsidR="00670F94">
        <w:rPr>
          <w:rStyle w:val="FootnoteReference"/>
          <w:rFonts w:ascii="Garamond" w:eastAsia="Garamond" w:hAnsi="Garamond"/>
          <w:spacing w:val="-2"/>
          <w:sz w:val="24"/>
          <w:szCs w:val="24"/>
        </w:rPr>
        <w:footnoteReference w:id="1"/>
      </w:r>
    </w:p>
    <w:p w14:paraId="1D186F27" w14:textId="77777777" w:rsidR="009D4ACC" w:rsidRDefault="009D4ACC" w:rsidP="006110A5">
      <w:pPr>
        <w:spacing w:after="120"/>
        <w:ind w:right="29"/>
        <w:textAlignment w:val="baseline"/>
        <w:rPr>
          <w:rFonts w:ascii="Garamond" w:eastAsia="Garamond" w:hAnsi="Garamond"/>
          <w:b/>
          <w:color w:val="2B8444"/>
          <w:spacing w:val="-2"/>
          <w:sz w:val="24"/>
          <w:szCs w:val="24"/>
        </w:rPr>
      </w:pPr>
    </w:p>
    <w:p w14:paraId="4D6CFF03" w14:textId="77777777" w:rsidR="00623253" w:rsidRPr="00566894" w:rsidRDefault="00623253" w:rsidP="006110A5">
      <w:pPr>
        <w:spacing w:after="120"/>
        <w:ind w:right="29"/>
        <w:textAlignment w:val="baseline"/>
        <w:rPr>
          <w:rFonts w:ascii="Garamond" w:eastAsia="Garamond" w:hAnsi="Garamond"/>
          <w:b/>
          <w:color w:val="2B8444"/>
          <w:spacing w:val="-2"/>
          <w:sz w:val="24"/>
          <w:szCs w:val="24"/>
        </w:rPr>
      </w:pPr>
      <w:r w:rsidRPr="00566894">
        <w:rPr>
          <w:rFonts w:ascii="Garamond" w:eastAsia="Garamond" w:hAnsi="Garamond"/>
          <w:b/>
          <w:color w:val="2B8444"/>
          <w:spacing w:val="-2"/>
          <w:sz w:val="24"/>
          <w:szCs w:val="24"/>
        </w:rPr>
        <w:t>Claim Submission</w:t>
      </w:r>
    </w:p>
    <w:p w14:paraId="697FF9BE" w14:textId="77777777" w:rsidR="002917A7" w:rsidRDefault="002917A7" w:rsidP="002917A7">
      <w:pPr>
        <w:spacing w:after="120"/>
        <w:rPr>
          <w:rFonts w:ascii="Garamond" w:eastAsia="Times New Roman" w:hAnsi="Garamond" w:cs="Calibri"/>
          <w:color w:val="000000"/>
          <w:sz w:val="24"/>
          <w:szCs w:val="24"/>
        </w:rPr>
      </w:pPr>
      <w:r w:rsidRPr="00814CC1">
        <w:rPr>
          <w:rFonts w:ascii="Garamond" w:eastAsia="Times New Roman" w:hAnsi="Garamond" w:cs="Calibri"/>
          <w:color w:val="000000"/>
          <w:sz w:val="24"/>
          <w:szCs w:val="24"/>
        </w:rPr>
        <w:t xml:space="preserve">Billable services are subject to contractual agreements, when applicable. Providers are required to submit complete claims for payment within </w:t>
      </w:r>
      <w:r>
        <w:rPr>
          <w:rFonts w:ascii="Garamond" w:eastAsia="Times New Roman" w:hAnsi="Garamond" w:cs="Calibri"/>
          <w:color w:val="000000"/>
          <w:sz w:val="24"/>
          <w:szCs w:val="24"/>
        </w:rPr>
        <w:t xml:space="preserve">contractually determined timely filing guidelines. </w:t>
      </w:r>
    </w:p>
    <w:p w14:paraId="6D9CDE30" w14:textId="77777777" w:rsidR="00814CC1" w:rsidRPr="00814CC1" w:rsidRDefault="00814CC1" w:rsidP="009E2F7C">
      <w:pPr>
        <w:spacing w:after="120"/>
        <w:rPr>
          <w:rFonts w:ascii="Garamond" w:eastAsia="Times New Roman" w:hAnsi="Garamond" w:cs="Calibri"/>
          <w:color w:val="000000"/>
          <w:sz w:val="24"/>
          <w:szCs w:val="24"/>
        </w:rPr>
      </w:pPr>
      <w:r w:rsidRPr="00814CC1">
        <w:rPr>
          <w:rFonts w:ascii="Garamond" w:eastAsia="Times New Roman" w:hAnsi="Garamond" w:cs="Calibri"/>
          <w:color w:val="000000"/>
          <w:sz w:val="24"/>
          <w:szCs w:val="24"/>
        </w:rPr>
        <w:t xml:space="preserve">Adjustments, corrections, and reconsiderations must include the </w:t>
      </w:r>
      <w:hyperlink r:id="rId10" w:history="1">
        <w:r w:rsidRPr="00237A0E">
          <w:rPr>
            <w:rStyle w:val="Hyperlink"/>
            <w:rFonts w:ascii="Garamond" w:eastAsia="Times New Roman" w:hAnsi="Garamond" w:cs="Calibri"/>
            <w:sz w:val="24"/>
            <w:szCs w:val="24"/>
          </w:rPr>
          <w:t>required forms</w:t>
        </w:r>
      </w:hyperlink>
      <w:r w:rsidRPr="00814CC1">
        <w:rPr>
          <w:rFonts w:ascii="Garamond" w:eastAsia="Times New Roman" w:hAnsi="Garamond" w:cs="Calibri"/>
          <w:color w:val="000000"/>
          <w:sz w:val="24"/>
          <w:szCs w:val="24"/>
        </w:rPr>
        <w:t>. All submissions must be in compliance with National Claims Standards.</w:t>
      </w:r>
    </w:p>
    <w:p w14:paraId="3604D46B" w14:textId="77777777" w:rsidR="00623253" w:rsidRPr="00566894" w:rsidRDefault="00814CC1" w:rsidP="002252CC">
      <w:pPr>
        <w:rPr>
          <w:rFonts w:ascii="Garamond" w:hAnsi="Garamond"/>
          <w:b/>
          <w:sz w:val="24"/>
          <w:szCs w:val="24"/>
        </w:rPr>
      </w:pPr>
      <w:r w:rsidRPr="00814CC1">
        <w:rPr>
          <w:rFonts w:ascii="Garamond" w:eastAsia="Times New Roman" w:hAnsi="Garamond" w:cs="Calibri"/>
          <w:color w:val="000000"/>
          <w:sz w:val="24"/>
          <w:szCs w:val="24"/>
        </w:rPr>
        <w:t>Coding must meet standards defined by the American Medical Association’s Current Procedural Terminology Editorial Panel’s (CPT®) codebook, the International Statistical Classification of Diseases and Related Health Problems, 10th revision, Clinical Modification (ICD-10-CM), and the Healthcare Common Procedure Coding System (HCPCS) Level II.</w:t>
      </w:r>
    </w:p>
    <w:p w14:paraId="7255E5CF" w14:textId="77777777" w:rsidR="00814CC1" w:rsidRDefault="00814CC1" w:rsidP="00943914">
      <w:pPr>
        <w:spacing w:line="360" w:lineRule="auto"/>
        <w:ind w:right="29"/>
        <w:textAlignment w:val="baseline"/>
        <w:rPr>
          <w:rFonts w:ascii="Garamond" w:eastAsia="Garamond" w:hAnsi="Garamond"/>
          <w:b/>
          <w:color w:val="2B8444"/>
          <w:spacing w:val="-2"/>
          <w:sz w:val="24"/>
          <w:szCs w:val="24"/>
        </w:rPr>
      </w:pPr>
    </w:p>
    <w:p w14:paraId="645E2757" w14:textId="77777777" w:rsidR="002F191C" w:rsidRDefault="002F191C" w:rsidP="00943914">
      <w:pPr>
        <w:spacing w:line="360" w:lineRule="auto"/>
        <w:ind w:right="29"/>
        <w:textAlignment w:val="baseline"/>
        <w:rPr>
          <w:rFonts w:ascii="Garamond" w:eastAsia="Garamond" w:hAnsi="Garamond"/>
          <w:b/>
          <w:color w:val="2B8444"/>
          <w:spacing w:val="-2"/>
          <w:sz w:val="24"/>
          <w:szCs w:val="24"/>
        </w:rPr>
      </w:pPr>
      <w:r>
        <w:rPr>
          <w:rFonts w:ascii="Garamond" w:eastAsia="Garamond" w:hAnsi="Garamond"/>
          <w:b/>
          <w:color w:val="2B8444"/>
          <w:spacing w:val="-2"/>
          <w:sz w:val="24"/>
          <w:szCs w:val="24"/>
        </w:rPr>
        <w:t>Documentation Requirements</w:t>
      </w:r>
    </w:p>
    <w:p w14:paraId="0B18193D" w14:textId="77777777" w:rsidR="002F191C" w:rsidRDefault="002F191C" w:rsidP="002F191C">
      <w:pPr>
        <w:ind w:right="29"/>
        <w:textAlignment w:val="baseline"/>
        <w:rPr>
          <w:rFonts w:ascii="Garamond" w:eastAsia="Garamond" w:hAnsi="Garamond"/>
          <w:spacing w:val="-2"/>
          <w:sz w:val="24"/>
          <w:szCs w:val="24"/>
        </w:rPr>
      </w:pPr>
      <w:r>
        <w:rPr>
          <w:rFonts w:ascii="Garamond" w:eastAsia="Garamond" w:hAnsi="Garamond"/>
          <w:spacing w:val="-2"/>
          <w:sz w:val="24"/>
          <w:szCs w:val="24"/>
        </w:rPr>
        <w:t>Neighborhood reserves the right to request medical records for any service billed. Documentation in the medical record must support the service(s) billed as well as the medical necessity of the service(s). Neighborhood follows CMS standards for proper documentation requirements.</w:t>
      </w:r>
    </w:p>
    <w:p w14:paraId="368CEA77" w14:textId="77777777" w:rsidR="002F191C" w:rsidRPr="002F191C" w:rsidRDefault="002F191C" w:rsidP="002F191C">
      <w:pPr>
        <w:ind w:right="29"/>
        <w:textAlignment w:val="baseline"/>
        <w:rPr>
          <w:rFonts w:ascii="Garamond" w:eastAsia="Garamond" w:hAnsi="Garamond"/>
          <w:spacing w:val="-2"/>
          <w:sz w:val="24"/>
          <w:szCs w:val="24"/>
        </w:rPr>
      </w:pPr>
    </w:p>
    <w:p w14:paraId="570B9EA3" w14:textId="77777777" w:rsidR="00943914" w:rsidRPr="00943914" w:rsidRDefault="00943914" w:rsidP="00943914">
      <w:pPr>
        <w:spacing w:line="360" w:lineRule="auto"/>
        <w:ind w:right="29"/>
        <w:textAlignment w:val="baseline"/>
        <w:rPr>
          <w:rFonts w:ascii="Garamond" w:eastAsia="Garamond" w:hAnsi="Garamond"/>
          <w:b/>
          <w:color w:val="000000"/>
          <w:spacing w:val="-2"/>
          <w:sz w:val="24"/>
          <w:szCs w:val="24"/>
        </w:rPr>
      </w:pPr>
      <w:r w:rsidRPr="00943914">
        <w:rPr>
          <w:rFonts w:ascii="Garamond" w:eastAsia="Garamond" w:hAnsi="Garamond"/>
          <w:b/>
          <w:color w:val="2B8444"/>
          <w:spacing w:val="-2"/>
          <w:sz w:val="24"/>
          <w:szCs w:val="24"/>
        </w:rPr>
        <w:t>Member Responsibility</w:t>
      </w:r>
    </w:p>
    <w:p w14:paraId="73D1B106" w14:textId="77777777" w:rsidR="00943914" w:rsidRPr="00943914" w:rsidRDefault="007419E0" w:rsidP="00943914">
      <w:pPr>
        <w:ind w:right="35"/>
        <w:textAlignment w:val="baseline"/>
        <w:rPr>
          <w:rFonts w:ascii="Garamond" w:hAnsi="Garamond"/>
          <w:sz w:val="24"/>
          <w:szCs w:val="24"/>
        </w:rPr>
      </w:pPr>
      <w:r w:rsidRPr="006F04B1">
        <w:rPr>
          <w:rFonts w:ascii="Garamond" w:hAnsi="Garamond"/>
          <w:b/>
          <w:sz w:val="24"/>
          <w:szCs w:val="24"/>
        </w:rPr>
        <w:t>Commercial</w:t>
      </w:r>
      <w:r w:rsidR="00943914" w:rsidRPr="006F04B1">
        <w:rPr>
          <w:rFonts w:ascii="Garamond" w:hAnsi="Garamond"/>
          <w:sz w:val="24"/>
          <w:szCs w:val="24"/>
        </w:rPr>
        <w:t xml:space="preserve"> plans include cost sharing provisions for coinsurance, copays, and deductibles. Members may have out of pocket expenses based on individual plan selection and utilization. Please review cost sharing obligations or contact Member Services prior to finalizing member charges.</w:t>
      </w:r>
    </w:p>
    <w:p w14:paraId="4E811CE7" w14:textId="77777777" w:rsidR="00943914" w:rsidRDefault="00943914" w:rsidP="00566894">
      <w:pPr>
        <w:spacing w:after="120"/>
        <w:ind w:right="29"/>
        <w:textAlignment w:val="baseline"/>
        <w:rPr>
          <w:rFonts w:ascii="Garamond" w:eastAsia="Garamond" w:hAnsi="Garamond"/>
          <w:b/>
          <w:color w:val="2B8444"/>
          <w:spacing w:val="-2"/>
          <w:sz w:val="24"/>
          <w:szCs w:val="24"/>
        </w:rPr>
      </w:pPr>
    </w:p>
    <w:p w14:paraId="4A3EAF25" w14:textId="77777777" w:rsidR="008F6F56" w:rsidRDefault="008F6F56" w:rsidP="00566894">
      <w:pPr>
        <w:spacing w:after="120"/>
        <w:ind w:right="29"/>
        <w:textAlignment w:val="baseline"/>
        <w:rPr>
          <w:rFonts w:ascii="Garamond" w:eastAsia="Garamond" w:hAnsi="Garamond"/>
          <w:b/>
          <w:color w:val="2B8444"/>
          <w:spacing w:val="-2"/>
          <w:sz w:val="24"/>
          <w:szCs w:val="24"/>
        </w:rPr>
      </w:pPr>
      <w:r w:rsidRPr="008F6F56">
        <w:rPr>
          <w:rFonts w:ascii="Garamond" w:eastAsia="Garamond" w:hAnsi="Garamond"/>
          <w:b/>
          <w:color w:val="2B8444"/>
          <w:spacing w:val="-2"/>
          <w:sz w:val="24"/>
          <w:szCs w:val="24"/>
        </w:rPr>
        <w:t>Coding</w:t>
      </w:r>
    </w:p>
    <w:p w14:paraId="61D2077D" w14:textId="77777777" w:rsidR="0038185B" w:rsidRPr="0038185B" w:rsidRDefault="0038185B" w:rsidP="00566894">
      <w:pPr>
        <w:spacing w:after="120"/>
        <w:ind w:right="29"/>
        <w:textAlignment w:val="baseline"/>
        <w:rPr>
          <w:rFonts w:ascii="Garamond" w:eastAsia="Garamond" w:hAnsi="Garamond"/>
          <w:spacing w:val="-2"/>
          <w:sz w:val="24"/>
          <w:szCs w:val="24"/>
        </w:rPr>
      </w:pPr>
      <w:r>
        <w:rPr>
          <w:rFonts w:ascii="Garamond" w:eastAsia="Garamond" w:hAnsi="Garamond"/>
          <w:spacing w:val="-2"/>
          <w:sz w:val="24"/>
          <w:szCs w:val="24"/>
        </w:rPr>
        <w:t>The inclusion of a code in this policy does not guarantee coverage or reimbursement.</w:t>
      </w:r>
    </w:p>
    <w:tbl>
      <w:tblPr>
        <w:tblStyle w:val="TableGrid"/>
        <w:tblW w:w="0" w:type="auto"/>
        <w:tblLook w:val="04A0" w:firstRow="1" w:lastRow="0" w:firstColumn="1" w:lastColumn="0" w:noHBand="0" w:noVBand="1"/>
      </w:tblPr>
      <w:tblGrid>
        <w:gridCol w:w="1435"/>
        <w:gridCol w:w="7915"/>
      </w:tblGrid>
      <w:tr w:rsidR="008F6F56" w14:paraId="6A1AEE2A" w14:textId="77777777" w:rsidTr="004442DB">
        <w:tc>
          <w:tcPr>
            <w:tcW w:w="1435" w:type="dxa"/>
            <w:shd w:val="clear" w:color="auto" w:fill="00B050"/>
          </w:tcPr>
          <w:p w14:paraId="51763993" w14:textId="77777777" w:rsidR="008F6F56" w:rsidRPr="008F6F56" w:rsidRDefault="008F6F56" w:rsidP="008F6F56">
            <w:pPr>
              <w:spacing w:after="120"/>
              <w:ind w:right="29"/>
              <w:jc w:val="center"/>
              <w:textAlignment w:val="baseline"/>
              <w:rPr>
                <w:rFonts w:ascii="Garamond" w:eastAsia="Garamond" w:hAnsi="Garamond"/>
                <w:b/>
                <w:color w:val="FFFFFF" w:themeColor="background1"/>
                <w:spacing w:val="-2"/>
              </w:rPr>
            </w:pPr>
            <w:r w:rsidRPr="008F6F56">
              <w:rPr>
                <w:rFonts w:ascii="Garamond" w:eastAsia="Garamond" w:hAnsi="Garamond"/>
                <w:b/>
                <w:color w:val="FFFFFF" w:themeColor="background1"/>
                <w:spacing w:val="-2"/>
              </w:rPr>
              <w:lastRenderedPageBreak/>
              <w:t>CPT Code</w:t>
            </w:r>
          </w:p>
        </w:tc>
        <w:tc>
          <w:tcPr>
            <w:tcW w:w="7915" w:type="dxa"/>
            <w:shd w:val="clear" w:color="auto" w:fill="00B050"/>
          </w:tcPr>
          <w:p w14:paraId="3F8B9D36" w14:textId="77777777" w:rsidR="008F6F56" w:rsidRPr="008F6F56" w:rsidRDefault="008F6F56" w:rsidP="008F6F56">
            <w:pPr>
              <w:spacing w:after="120"/>
              <w:ind w:right="29"/>
              <w:jc w:val="center"/>
              <w:textAlignment w:val="baseline"/>
              <w:rPr>
                <w:rFonts w:ascii="Garamond" w:eastAsia="Garamond" w:hAnsi="Garamond"/>
                <w:b/>
                <w:color w:val="FFFFFF" w:themeColor="background1"/>
                <w:spacing w:val="-2"/>
              </w:rPr>
            </w:pPr>
            <w:r w:rsidRPr="008F6F56">
              <w:rPr>
                <w:rFonts w:ascii="Garamond" w:eastAsia="Garamond" w:hAnsi="Garamond"/>
                <w:b/>
                <w:color w:val="FFFFFF" w:themeColor="background1"/>
                <w:spacing w:val="-2"/>
              </w:rPr>
              <w:t>Description</w:t>
            </w:r>
          </w:p>
        </w:tc>
      </w:tr>
      <w:tr w:rsidR="00897FD8" w14:paraId="49EB26A2" w14:textId="77777777" w:rsidTr="004442DB">
        <w:tc>
          <w:tcPr>
            <w:tcW w:w="1435" w:type="dxa"/>
          </w:tcPr>
          <w:p w14:paraId="262FC163" w14:textId="77777777" w:rsidR="00897FD8" w:rsidRDefault="00897FD8" w:rsidP="004442DB">
            <w:pPr>
              <w:spacing w:after="120"/>
              <w:ind w:right="29"/>
              <w:jc w:val="center"/>
              <w:textAlignment w:val="baseline"/>
              <w:rPr>
                <w:rFonts w:ascii="Garamond" w:eastAsia="Garamond" w:hAnsi="Garamond"/>
                <w:b/>
                <w:spacing w:val="-2"/>
                <w:sz w:val="24"/>
                <w:szCs w:val="24"/>
              </w:rPr>
            </w:pPr>
            <w:r>
              <w:rPr>
                <w:rFonts w:ascii="Garamond" w:eastAsia="Garamond" w:hAnsi="Garamond"/>
                <w:b/>
                <w:spacing w:val="-2"/>
                <w:sz w:val="24"/>
                <w:szCs w:val="24"/>
              </w:rPr>
              <w:t>77063</w:t>
            </w:r>
          </w:p>
        </w:tc>
        <w:tc>
          <w:tcPr>
            <w:tcW w:w="7915" w:type="dxa"/>
          </w:tcPr>
          <w:p w14:paraId="111ABDAC" w14:textId="77777777" w:rsidR="00897FD8" w:rsidRPr="004442DB" w:rsidRDefault="004442DB" w:rsidP="00566894">
            <w:pPr>
              <w:spacing w:after="120"/>
              <w:ind w:right="29"/>
              <w:textAlignment w:val="baseline"/>
              <w:rPr>
                <w:rFonts w:ascii="Garamond" w:eastAsia="Garamond" w:hAnsi="Garamond"/>
                <w:spacing w:val="-2"/>
                <w:sz w:val="24"/>
                <w:szCs w:val="24"/>
              </w:rPr>
            </w:pPr>
            <w:r w:rsidRPr="004442DB">
              <w:rPr>
                <w:rFonts w:ascii="Garamond" w:eastAsia="Garamond" w:hAnsi="Garamond"/>
                <w:spacing w:val="-2"/>
                <w:sz w:val="24"/>
                <w:szCs w:val="24"/>
              </w:rPr>
              <w:t>Screening digital breast tomosynthesis, bilateral (List separately in addition to code for primary procedure)</w:t>
            </w:r>
          </w:p>
        </w:tc>
      </w:tr>
      <w:tr w:rsidR="00897FD8" w14:paraId="75727456" w14:textId="77777777" w:rsidTr="004442DB">
        <w:tc>
          <w:tcPr>
            <w:tcW w:w="1435" w:type="dxa"/>
          </w:tcPr>
          <w:p w14:paraId="5D35E2B3" w14:textId="77777777" w:rsidR="00897FD8" w:rsidRPr="00897FD8" w:rsidRDefault="00897FD8" w:rsidP="004442DB">
            <w:pPr>
              <w:spacing w:after="120"/>
              <w:ind w:right="29"/>
              <w:jc w:val="center"/>
              <w:textAlignment w:val="baseline"/>
              <w:rPr>
                <w:rFonts w:ascii="Garamond" w:eastAsia="Garamond" w:hAnsi="Garamond"/>
                <w:b/>
                <w:spacing w:val="-2"/>
                <w:sz w:val="24"/>
                <w:szCs w:val="24"/>
              </w:rPr>
            </w:pPr>
            <w:r>
              <w:rPr>
                <w:rFonts w:ascii="Garamond" w:eastAsia="Garamond" w:hAnsi="Garamond"/>
                <w:b/>
                <w:spacing w:val="-2"/>
                <w:sz w:val="24"/>
                <w:szCs w:val="24"/>
              </w:rPr>
              <w:t>77</w:t>
            </w:r>
            <w:r w:rsidR="004442DB">
              <w:rPr>
                <w:rFonts w:ascii="Garamond" w:eastAsia="Garamond" w:hAnsi="Garamond"/>
                <w:b/>
                <w:spacing w:val="-2"/>
                <w:sz w:val="24"/>
                <w:szCs w:val="24"/>
              </w:rPr>
              <w:t>0</w:t>
            </w:r>
            <w:r>
              <w:rPr>
                <w:rFonts w:ascii="Garamond" w:eastAsia="Garamond" w:hAnsi="Garamond"/>
                <w:b/>
                <w:spacing w:val="-2"/>
                <w:sz w:val="24"/>
                <w:szCs w:val="24"/>
              </w:rPr>
              <w:t>67</w:t>
            </w:r>
          </w:p>
        </w:tc>
        <w:tc>
          <w:tcPr>
            <w:tcW w:w="7915" w:type="dxa"/>
          </w:tcPr>
          <w:p w14:paraId="7746E2A9" w14:textId="77777777" w:rsidR="00897FD8" w:rsidRPr="004442DB" w:rsidRDefault="004442DB" w:rsidP="00566894">
            <w:pPr>
              <w:spacing w:after="120"/>
              <w:ind w:right="29"/>
              <w:textAlignment w:val="baseline"/>
              <w:rPr>
                <w:rFonts w:ascii="Garamond" w:eastAsia="Garamond" w:hAnsi="Garamond"/>
                <w:spacing w:val="-2"/>
                <w:sz w:val="24"/>
                <w:szCs w:val="24"/>
              </w:rPr>
            </w:pPr>
            <w:r w:rsidRPr="004442DB">
              <w:rPr>
                <w:rFonts w:ascii="Garamond" w:eastAsia="Garamond" w:hAnsi="Garamond"/>
                <w:spacing w:val="-2"/>
                <w:sz w:val="24"/>
                <w:szCs w:val="24"/>
              </w:rPr>
              <w:t>Screening mammography, bilateral (2-view study of each breast), including computer-aided detection (CAD) when performed</w:t>
            </w:r>
          </w:p>
        </w:tc>
      </w:tr>
      <w:tr w:rsidR="004442DB" w14:paraId="1F41639A" w14:textId="77777777" w:rsidTr="004442DB">
        <w:tc>
          <w:tcPr>
            <w:tcW w:w="1435" w:type="dxa"/>
          </w:tcPr>
          <w:p w14:paraId="42E60CB1" w14:textId="77777777" w:rsidR="004442DB" w:rsidRDefault="004442DB" w:rsidP="004442DB">
            <w:pPr>
              <w:spacing w:after="120"/>
              <w:ind w:right="29"/>
              <w:jc w:val="center"/>
              <w:textAlignment w:val="baseline"/>
              <w:rPr>
                <w:rFonts w:ascii="Garamond" w:eastAsia="Garamond" w:hAnsi="Garamond"/>
                <w:b/>
                <w:spacing w:val="-2"/>
                <w:sz w:val="24"/>
                <w:szCs w:val="24"/>
              </w:rPr>
            </w:pPr>
            <w:r>
              <w:rPr>
                <w:rFonts w:ascii="Garamond" w:eastAsia="Garamond" w:hAnsi="Garamond"/>
                <w:b/>
                <w:spacing w:val="-2"/>
                <w:sz w:val="24"/>
                <w:szCs w:val="24"/>
              </w:rPr>
              <w:t>77065</w:t>
            </w:r>
          </w:p>
        </w:tc>
        <w:tc>
          <w:tcPr>
            <w:tcW w:w="7915" w:type="dxa"/>
          </w:tcPr>
          <w:p w14:paraId="0E81A91D" w14:textId="77777777" w:rsidR="004442DB" w:rsidRPr="004442DB" w:rsidRDefault="004442DB" w:rsidP="00566894">
            <w:pPr>
              <w:spacing w:after="120"/>
              <w:ind w:right="29"/>
              <w:textAlignment w:val="baseline"/>
              <w:rPr>
                <w:rFonts w:ascii="Garamond" w:eastAsia="Garamond" w:hAnsi="Garamond"/>
                <w:spacing w:val="-2"/>
                <w:sz w:val="24"/>
                <w:szCs w:val="24"/>
              </w:rPr>
            </w:pPr>
            <w:r w:rsidRPr="004442DB">
              <w:rPr>
                <w:rFonts w:ascii="Garamond" w:eastAsia="Garamond" w:hAnsi="Garamond"/>
                <w:spacing w:val="-2"/>
                <w:sz w:val="24"/>
                <w:szCs w:val="24"/>
              </w:rPr>
              <w:t>Diagnostic mammography, including computer-aided detection (CAD) when performed; unilateral</w:t>
            </w:r>
          </w:p>
        </w:tc>
      </w:tr>
      <w:tr w:rsidR="004442DB" w14:paraId="0DDBB45E" w14:textId="77777777" w:rsidTr="004442DB">
        <w:tc>
          <w:tcPr>
            <w:tcW w:w="1435" w:type="dxa"/>
          </w:tcPr>
          <w:p w14:paraId="2A96C8EA" w14:textId="77777777" w:rsidR="004442DB" w:rsidRDefault="004442DB" w:rsidP="004442DB">
            <w:pPr>
              <w:spacing w:after="120"/>
              <w:ind w:right="29"/>
              <w:jc w:val="center"/>
              <w:textAlignment w:val="baseline"/>
              <w:rPr>
                <w:rFonts w:ascii="Garamond" w:eastAsia="Garamond" w:hAnsi="Garamond"/>
                <w:b/>
                <w:spacing w:val="-2"/>
                <w:sz w:val="24"/>
                <w:szCs w:val="24"/>
              </w:rPr>
            </w:pPr>
            <w:r>
              <w:rPr>
                <w:rFonts w:ascii="Garamond" w:eastAsia="Garamond" w:hAnsi="Garamond"/>
                <w:b/>
                <w:spacing w:val="-2"/>
                <w:sz w:val="24"/>
                <w:szCs w:val="24"/>
              </w:rPr>
              <w:t>77066</w:t>
            </w:r>
          </w:p>
        </w:tc>
        <w:tc>
          <w:tcPr>
            <w:tcW w:w="7915" w:type="dxa"/>
          </w:tcPr>
          <w:p w14:paraId="75A674CC" w14:textId="77777777" w:rsidR="004442DB" w:rsidRPr="004442DB" w:rsidRDefault="004442DB" w:rsidP="00566894">
            <w:pPr>
              <w:spacing w:after="120"/>
              <w:ind w:right="29"/>
              <w:textAlignment w:val="baseline"/>
              <w:rPr>
                <w:rFonts w:ascii="Garamond" w:eastAsia="Garamond" w:hAnsi="Garamond"/>
                <w:spacing w:val="-2"/>
                <w:sz w:val="24"/>
                <w:szCs w:val="24"/>
              </w:rPr>
            </w:pPr>
            <w:r w:rsidRPr="004442DB">
              <w:rPr>
                <w:rFonts w:ascii="Garamond" w:eastAsia="Garamond" w:hAnsi="Garamond"/>
                <w:spacing w:val="-2"/>
                <w:sz w:val="24"/>
                <w:szCs w:val="24"/>
              </w:rPr>
              <w:t>Diagnostic mammography, including computer-aided detection (CAD) when performed; bilateral</w:t>
            </w:r>
          </w:p>
        </w:tc>
      </w:tr>
    </w:tbl>
    <w:p w14:paraId="40A3302C" w14:textId="77777777" w:rsidR="008F6F56" w:rsidRDefault="008F6F56" w:rsidP="00566894">
      <w:pPr>
        <w:spacing w:after="120"/>
        <w:ind w:right="29"/>
        <w:textAlignment w:val="baseline"/>
        <w:rPr>
          <w:rFonts w:ascii="Garamond" w:eastAsia="Garamond" w:hAnsi="Garamond"/>
          <w:b/>
          <w:color w:val="2B8444"/>
          <w:spacing w:val="-2"/>
          <w:sz w:val="24"/>
          <w:szCs w:val="24"/>
        </w:rPr>
      </w:pPr>
    </w:p>
    <w:p w14:paraId="4F7BE066" w14:textId="77777777" w:rsidR="00623253" w:rsidRPr="00566894" w:rsidRDefault="00623253" w:rsidP="00566894">
      <w:pPr>
        <w:spacing w:after="120"/>
        <w:ind w:right="29"/>
        <w:textAlignment w:val="baseline"/>
        <w:rPr>
          <w:rFonts w:ascii="Garamond" w:eastAsia="Garamond" w:hAnsi="Garamond"/>
          <w:b/>
          <w:color w:val="2B8444"/>
          <w:spacing w:val="-2"/>
          <w:sz w:val="24"/>
          <w:szCs w:val="24"/>
        </w:rPr>
      </w:pPr>
      <w:r w:rsidRPr="00566894">
        <w:rPr>
          <w:rFonts w:ascii="Garamond" w:eastAsia="Garamond" w:hAnsi="Garamond"/>
          <w:b/>
          <w:color w:val="2B8444"/>
          <w:spacing w:val="-2"/>
          <w:sz w:val="24"/>
          <w:szCs w:val="24"/>
        </w:rPr>
        <w:t>Disclaimer</w:t>
      </w:r>
    </w:p>
    <w:p w14:paraId="5E5C8FC8" w14:textId="77777777" w:rsidR="002C390A" w:rsidRPr="002C390A" w:rsidRDefault="002C390A" w:rsidP="002252CC">
      <w:pPr>
        <w:spacing w:after="160"/>
        <w:rPr>
          <w:rFonts w:ascii="Garamond" w:eastAsia="Calibri" w:hAnsi="Garamond"/>
          <w:sz w:val="24"/>
          <w:szCs w:val="24"/>
        </w:rPr>
      </w:pPr>
      <w:r w:rsidRPr="002C390A">
        <w:rPr>
          <w:rFonts w:ascii="Garamond" w:eastAsia="Calibri" w:hAnsi="Garamond"/>
          <w:sz w:val="24"/>
          <w:szCs w:val="24"/>
        </w:rPr>
        <w:t>This payment policy is informational only and</w:t>
      </w:r>
      <w:r w:rsidRPr="002C390A">
        <w:rPr>
          <w:rFonts w:ascii="Calibri" w:eastAsia="Calibri" w:hAnsi="Calibri"/>
        </w:rPr>
        <w:t xml:space="preserve"> </w:t>
      </w:r>
      <w:r w:rsidRPr="002C390A">
        <w:rPr>
          <w:rFonts w:ascii="Garamond" w:eastAsia="Calibri" w:hAnsi="Garamond"/>
          <w:sz w:val="24"/>
          <w:szCs w:val="24"/>
        </w:rPr>
        <w:t xml:space="preserve">is not intended to address every situation related to reimbursement for healthcare services; therefore, it is not a guarantee of reimbursement. </w:t>
      </w:r>
    </w:p>
    <w:p w14:paraId="2004C69F" w14:textId="77777777" w:rsidR="002C390A" w:rsidRPr="002C390A" w:rsidRDefault="002C390A" w:rsidP="002C390A">
      <w:pPr>
        <w:spacing w:after="160"/>
        <w:rPr>
          <w:rFonts w:ascii="Garamond" w:eastAsia="Calibri" w:hAnsi="Garamond"/>
          <w:sz w:val="24"/>
          <w:szCs w:val="24"/>
        </w:rPr>
      </w:pPr>
      <w:r w:rsidRPr="002C390A">
        <w:rPr>
          <w:rFonts w:ascii="Garamond" w:eastAsia="Calibri" w:hAnsi="Garamond"/>
          <w:sz w:val="24"/>
          <w:szCs w:val="24"/>
        </w:rPr>
        <w:t xml:space="preserve">Claim payments are subject to the following, which include but are not limited to: Neighborhood Health Plan of Rhode Island benefit coverage, member eligibility, claims payment edit rules, coding and documentation guidelines, authorization policies, provider contract agreements, and state and federal regulations. References to CPT or other sources are for definitional purposes only. </w:t>
      </w:r>
    </w:p>
    <w:p w14:paraId="724488DE" w14:textId="77777777" w:rsidR="002C390A" w:rsidRPr="002C390A" w:rsidRDefault="002C390A" w:rsidP="002C390A">
      <w:pPr>
        <w:spacing w:after="160"/>
        <w:rPr>
          <w:rFonts w:ascii="Garamond" w:eastAsia="Calibri" w:hAnsi="Garamond"/>
          <w:sz w:val="24"/>
          <w:szCs w:val="24"/>
        </w:rPr>
      </w:pPr>
      <w:r w:rsidRPr="002C390A">
        <w:rPr>
          <w:rFonts w:ascii="Garamond" w:eastAsia="Calibri" w:hAnsi="Garamond"/>
          <w:sz w:val="24"/>
          <w:szCs w:val="24"/>
        </w:rPr>
        <w:t xml:space="preserve">This policy may not be implemented exactly the same way on the different electronic claims processing systems used by Neighborhood due to programming or other constraints; however, Neighborhood strives to minimize these variations. </w:t>
      </w:r>
    </w:p>
    <w:p w14:paraId="4A4394F3" w14:textId="77777777" w:rsidR="00814CC1" w:rsidRPr="00566894" w:rsidRDefault="002C390A" w:rsidP="0038185B">
      <w:pPr>
        <w:rPr>
          <w:rFonts w:ascii="Garamond" w:hAnsi="Garamond"/>
          <w:b/>
          <w:sz w:val="24"/>
          <w:szCs w:val="24"/>
        </w:rPr>
      </w:pPr>
      <w:r w:rsidRPr="002C390A">
        <w:rPr>
          <w:rFonts w:ascii="Garamond" w:eastAsia="Calibri" w:hAnsi="Garamond"/>
          <w:sz w:val="24"/>
          <w:szCs w:val="24"/>
        </w:rPr>
        <w:t>The information in this policy is accurate and current as of the date of publication; however, medical practices, technology, and knowledge are constantly changing. Neighborhood reserves the right to update this payment policy at any time. All ser</w:t>
      </w:r>
      <w:bookmarkStart w:id="0" w:name="_GoBack"/>
      <w:bookmarkEnd w:id="0"/>
      <w:r w:rsidRPr="002C390A">
        <w:rPr>
          <w:rFonts w:ascii="Garamond" w:eastAsia="Calibri" w:hAnsi="Garamond"/>
          <w:sz w:val="24"/>
          <w:szCs w:val="24"/>
        </w:rPr>
        <w:t xml:space="preserve">vices billed to Neighborhood for reimbursement are subject to audit.  </w:t>
      </w:r>
    </w:p>
    <w:p w14:paraId="1DB60220" w14:textId="77777777" w:rsidR="00623253" w:rsidRPr="00566894" w:rsidRDefault="00623253" w:rsidP="006110A5">
      <w:pPr>
        <w:spacing w:after="120"/>
        <w:ind w:right="29"/>
        <w:textAlignment w:val="baseline"/>
        <w:rPr>
          <w:rFonts w:ascii="Garamond" w:eastAsia="Garamond" w:hAnsi="Garamond"/>
          <w:b/>
          <w:color w:val="2B8444"/>
          <w:spacing w:val="-2"/>
          <w:sz w:val="24"/>
          <w:szCs w:val="24"/>
        </w:rPr>
      </w:pPr>
      <w:r w:rsidRPr="00566894">
        <w:rPr>
          <w:rFonts w:ascii="Garamond" w:eastAsia="Garamond" w:hAnsi="Garamond"/>
          <w:b/>
          <w:color w:val="2B8444"/>
          <w:spacing w:val="-2"/>
          <w:sz w:val="24"/>
          <w:szCs w:val="24"/>
        </w:rPr>
        <w:t>Document History</w:t>
      </w:r>
    </w:p>
    <w:tbl>
      <w:tblPr>
        <w:tblStyle w:val="TableGrid1"/>
        <w:tblW w:w="0" w:type="auto"/>
        <w:tblLook w:val="04A0" w:firstRow="1" w:lastRow="0" w:firstColumn="1" w:lastColumn="0" w:noHBand="0" w:noVBand="1"/>
      </w:tblPr>
      <w:tblGrid>
        <w:gridCol w:w="1705"/>
        <w:gridCol w:w="7645"/>
      </w:tblGrid>
      <w:tr w:rsidR="00623253" w:rsidRPr="00566894" w14:paraId="31F3C3F7" w14:textId="77777777" w:rsidTr="00394B39">
        <w:tc>
          <w:tcPr>
            <w:tcW w:w="1705" w:type="dxa"/>
            <w:shd w:val="clear" w:color="auto" w:fill="009900"/>
          </w:tcPr>
          <w:p w14:paraId="6A7C42EA" w14:textId="77777777" w:rsidR="00623253" w:rsidRPr="00566894" w:rsidRDefault="00623253" w:rsidP="00623253">
            <w:pPr>
              <w:jc w:val="center"/>
              <w:rPr>
                <w:rFonts w:ascii="Garamond" w:hAnsi="Garamond"/>
                <w:b/>
                <w:color w:val="FFFFFF" w:themeColor="background1"/>
                <w:sz w:val="24"/>
                <w:szCs w:val="24"/>
              </w:rPr>
            </w:pPr>
            <w:r w:rsidRPr="00566894">
              <w:rPr>
                <w:rFonts w:ascii="Garamond" w:hAnsi="Garamond"/>
                <w:b/>
                <w:color w:val="FFFFFF" w:themeColor="background1"/>
                <w:sz w:val="24"/>
                <w:szCs w:val="24"/>
              </w:rPr>
              <w:t>Date</w:t>
            </w:r>
          </w:p>
        </w:tc>
        <w:tc>
          <w:tcPr>
            <w:tcW w:w="7645" w:type="dxa"/>
            <w:shd w:val="clear" w:color="auto" w:fill="009900"/>
          </w:tcPr>
          <w:p w14:paraId="3C1FFB2D" w14:textId="77777777" w:rsidR="00623253" w:rsidRPr="00566894" w:rsidRDefault="00623253" w:rsidP="00623253">
            <w:pPr>
              <w:jc w:val="center"/>
              <w:rPr>
                <w:rFonts w:ascii="Garamond" w:hAnsi="Garamond"/>
                <w:b/>
                <w:color w:val="FFFFFF" w:themeColor="background1"/>
                <w:sz w:val="24"/>
                <w:szCs w:val="24"/>
              </w:rPr>
            </w:pPr>
            <w:r w:rsidRPr="00566894">
              <w:rPr>
                <w:rFonts w:ascii="Garamond" w:hAnsi="Garamond"/>
                <w:b/>
                <w:color w:val="FFFFFF" w:themeColor="background1"/>
                <w:sz w:val="24"/>
                <w:szCs w:val="24"/>
              </w:rPr>
              <w:t>Action</w:t>
            </w:r>
          </w:p>
        </w:tc>
      </w:tr>
      <w:tr w:rsidR="006F04B1" w:rsidRPr="00566894" w14:paraId="224C26F8" w14:textId="77777777" w:rsidTr="00394B39">
        <w:tc>
          <w:tcPr>
            <w:tcW w:w="1705" w:type="dxa"/>
          </w:tcPr>
          <w:p w14:paraId="6FB1B3AB" w14:textId="43580399" w:rsidR="006F04B1" w:rsidRPr="00BC49B9" w:rsidRDefault="009F249C" w:rsidP="006F04B1">
            <w:pPr>
              <w:rPr>
                <w:rFonts w:ascii="Garamond" w:eastAsia="Garamond" w:hAnsi="Garamond"/>
                <w:b/>
                <w:color w:val="000000"/>
                <w:sz w:val="24"/>
                <w:szCs w:val="24"/>
              </w:rPr>
            </w:pPr>
            <w:r>
              <w:rPr>
                <w:rFonts w:ascii="Garamond" w:eastAsia="Garamond" w:hAnsi="Garamond"/>
                <w:b/>
                <w:color w:val="000000"/>
                <w:sz w:val="24"/>
                <w:szCs w:val="24"/>
              </w:rPr>
              <w:t>01/01/22</w:t>
            </w:r>
          </w:p>
        </w:tc>
        <w:tc>
          <w:tcPr>
            <w:tcW w:w="7645" w:type="dxa"/>
          </w:tcPr>
          <w:p w14:paraId="0F469844" w14:textId="6C958444" w:rsidR="006F04B1" w:rsidRPr="009A10B7" w:rsidRDefault="009F249C" w:rsidP="006F04B1">
            <w:pPr>
              <w:rPr>
                <w:rFonts w:ascii="Garamond" w:eastAsia="Garamond" w:hAnsi="Garamond"/>
                <w:color w:val="000000"/>
                <w:sz w:val="24"/>
                <w:szCs w:val="24"/>
              </w:rPr>
            </w:pPr>
            <w:r>
              <w:rPr>
                <w:rFonts w:ascii="Garamond" w:eastAsia="Garamond" w:hAnsi="Garamond"/>
                <w:color w:val="000000"/>
                <w:sz w:val="24"/>
                <w:szCs w:val="24"/>
              </w:rPr>
              <w:t>Policy Effective Date. Replace old policy.</w:t>
            </w:r>
          </w:p>
        </w:tc>
      </w:tr>
    </w:tbl>
    <w:p w14:paraId="6706F763" w14:textId="77777777" w:rsidR="00623253" w:rsidRPr="00566894" w:rsidRDefault="00623253" w:rsidP="00623253">
      <w:pPr>
        <w:spacing w:line="276" w:lineRule="auto"/>
        <w:rPr>
          <w:rFonts w:ascii="Garamond" w:hAnsi="Garamond"/>
          <w:b/>
          <w:sz w:val="24"/>
          <w:szCs w:val="24"/>
        </w:rPr>
      </w:pPr>
    </w:p>
    <w:p w14:paraId="114D761F" w14:textId="77777777" w:rsidR="00841466" w:rsidRPr="002233C7" w:rsidRDefault="00841466" w:rsidP="00623253">
      <w:pPr>
        <w:spacing w:line="360" w:lineRule="auto"/>
        <w:ind w:right="29"/>
        <w:textAlignment w:val="baseline"/>
        <w:rPr>
          <w:rFonts w:ascii="Garamond" w:hAnsi="Garamond"/>
          <w:sz w:val="24"/>
          <w:szCs w:val="24"/>
        </w:rPr>
      </w:pPr>
    </w:p>
    <w:sectPr w:rsidR="00841466" w:rsidRPr="002233C7" w:rsidSect="00701E1E">
      <w:headerReference w:type="default" r:id="rId11"/>
      <w:footerReference w:type="default" r:id="rId12"/>
      <w:pgSz w:w="12240" w:h="15840"/>
      <w:pgMar w:top="207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A9C08" w14:textId="77777777" w:rsidR="009417F7" w:rsidRDefault="009417F7" w:rsidP="00B03C0A">
      <w:r>
        <w:separator/>
      </w:r>
    </w:p>
  </w:endnote>
  <w:endnote w:type="continuationSeparator" w:id="0">
    <w:p w14:paraId="28648D67" w14:textId="77777777" w:rsidR="009417F7" w:rsidRDefault="009417F7" w:rsidP="00B0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bin">
    <w:panose1 w:val="020B0803050202020004"/>
    <w:charset w:val="00"/>
    <w:family w:val="swiss"/>
    <w:pitch w:val="variable"/>
    <w:sig w:usb0="8000002F" w:usb1="0000000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5D11F" w14:textId="2A6AA8CF" w:rsidR="00B46715" w:rsidRDefault="00B46715">
    <w:pPr>
      <w:pStyle w:val="Footer"/>
      <w:jc w:val="right"/>
    </w:pPr>
    <w:r>
      <w:rPr>
        <w:noProof/>
      </w:rPr>
      <mc:AlternateContent>
        <mc:Choice Requires="wps">
          <w:drawing>
            <wp:anchor distT="0" distB="0" distL="114300" distR="114300" simplePos="0" relativeHeight="251658240" behindDoc="0" locked="0" layoutInCell="1" allowOverlap="1" wp14:anchorId="7DEB8D9C" wp14:editId="50A4936E">
              <wp:simplePos x="0" y="0"/>
              <wp:positionH relativeFrom="column">
                <wp:posOffset>-390525</wp:posOffset>
              </wp:positionH>
              <wp:positionV relativeFrom="paragraph">
                <wp:posOffset>-57150</wp:posOffset>
              </wp:positionV>
              <wp:extent cx="5600700" cy="5143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14350"/>
                      </a:xfrm>
                      <a:prstGeom prst="rect">
                        <a:avLst/>
                      </a:prstGeom>
                      <a:solidFill>
                        <a:srgbClr val="FFFFFF"/>
                      </a:solidFill>
                      <a:ln w="9525">
                        <a:noFill/>
                        <a:miter lim="800000"/>
                        <a:headEnd/>
                        <a:tailEnd/>
                      </a:ln>
                    </wps:spPr>
                    <wps:txbx>
                      <w:txbxContent>
                        <w:p w14:paraId="27DEB56E" w14:textId="77777777" w:rsidR="006E4732" w:rsidRPr="006E4732" w:rsidRDefault="006E4732" w:rsidP="001F2DAA">
                          <w:pPr>
                            <w:rPr>
                              <w:rFonts w:ascii="Garamond" w:eastAsia="Times New Roman" w:hAnsi="Garamond"/>
                              <w:b/>
                              <w:bCs/>
                              <w:color w:val="000000"/>
                              <w:sz w:val="20"/>
                              <w:szCs w:val="20"/>
                            </w:rPr>
                          </w:pPr>
                          <w:r w:rsidRPr="006E4732">
                            <w:rPr>
                              <w:rFonts w:ascii="Garamond" w:eastAsia="Times New Roman" w:hAnsi="Garamond"/>
                              <w:b/>
                              <w:bCs/>
                              <w:color w:val="000000"/>
                              <w:sz w:val="20"/>
                              <w:szCs w:val="20"/>
                            </w:rPr>
                            <w:t xml:space="preserve">Neighborhood Health Plan of Rhode Island </w:t>
                          </w:r>
                          <w:r w:rsidRPr="006E4732">
                            <w:rPr>
                              <w:rFonts w:ascii="Garamond" w:eastAsia="Times New Roman" w:hAnsi="Garamond"/>
                              <w:b/>
                              <w:bCs/>
                              <w:color w:val="000000"/>
                              <w:sz w:val="20"/>
                              <w:szCs w:val="20"/>
                              <w:vertAlign w:val="superscript"/>
                            </w:rPr>
                            <w:t>©</w:t>
                          </w:r>
                          <w:r w:rsidRPr="006E4732">
                            <w:rPr>
                              <w:rFonts w:ascii="Garamond" w:eastAsia="Times New Roman" w:hAnsi="Garamond"/>
                              <w:b/>
                              <w:bCs/>
                              <w:color w:val="000000"/>
                              <w:sz w:val="20"/>
                              <w:szCs w:val="20"/>
                            </w:rPr>
                            <w:t xml:space="preserve"> </w:t>
                          </w:r>
                          <w:r w:rsidR="001F2DAA">
                            <w:rPr>
                              <w:rFonts w:ascii="Garamond" w:eastAsia="Times New Roman" w:hAnsi="Garamond"/>
                              <w:b/>
                              <w:bCs/>
                              <w:color w:val="000000"/>
                              <w:sz w:val="20"/>
                              <w:szCs w:val="20"/>
                            </w:rPr>
                            <w:t xml:space="preserve">                                                                          </w:t>
                          </w:r>
                        </w:p>
                        <w:p w14:paraId="25E3050B" w14:textId="77777777" w:rsidR="00B46715" w:rsidRDefault="00B467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EB8D9C" id="_x0000_t202" coordsize="21600,21600" o:spt="202" path="m,l,21600r21600,l21600,xe">
              <v:stroke joinstyle="miter"/>
              <v:path gradientshapeok="t" o:connecttype="rect"/>
            </v:shapetype>
            <v:shape id="_x0000_s1027" type="#_x0000_t202" style="position:absolute;left:0;text-align:left;margin-left:-30.75pt;margin-top:-4.5pt;width:441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" stroked="f">
              <v:textbox>
                <w:txbxContent>
                  <w:p w14:paraId="27DEB56E" w14:textId="77777777" w:rsidR="006E4732" w:rsidRPr="006E4732" w:rsidRDefault="006E4732" w:rsidP="001F2DAA">
                    <w:pPr>
                      <w:rPr>
                        <w:rFonts w:ascii="Garamond" w:eastAsia="Times New Roman" w:hAnsi="Garamond"/>
                        <w:b/>
                        <w:bCs/>
                        <w:color w:val="000000"/>
                        <w:sz w:val="20"/>
                        <w:szCs w:val="20"/>
                      </w:rPr>
                    </w:pPr>
                    <w:r w:rsidRPr="006E4732">
                      <w:rPr>
                        <w:rFonts w:ascii="Garamond" w:eastAsia="Times New Roman" w:hAnsi="Garamond"/>
                        <w:b/>
                        <w:bCs/>
                        <w:color w:val="000000"/>
                        <w:sz w:val="20"/>
                        <w:szCs w:val="20"/>
                      </w:rPr>
                      <w:t xml:space="preserve">Neighborhood Health Plan of Rhode Island </w:t>
                    </w:r>
                    <w:r w:rsidRPr="006E4732">
                      <w:rPr>
                        <w:rFonts w:ascii="Garamond" w:eastAsia="Times New Roman" w:hAnsi="Garamond"/>
                        <w:b/>
                        <w:bCs/>
                        <w:color w:val="000000"/>
                        <w:sz w:val="20"/>
                        <w:szCs w:val="20"/>
                        <w:vertAlign w:val="superscript"/>
                      </w:rPr>
                      <w:t>©</w:t>
                    </w:r>
                    <w:r w:rsidRPr="006E4732">
                      <w:rPr>
                        <w:rFonts w:ascii="Garamond" w:eastAsia="Times New Roman" w:hAnsi="Garamond"/>
                        <w:b/>
                        <w:bCs/>
                        <w:color w:val="000000"/>
                        <w:sz w:val="20"/>
                        <w:szCs w:val="20"/>
                      </w:rPr>
                      <w:t xml:space="preserve"> </w:t>
                    </w:r>
                    <w:r w:rsidR="001F2DAA">
                      <w:rPr>
                        <w:rFonts w:ascii="Garamond" w:eastAsia="Times New Roman" w:hAnsi="Garamond"/>
                        <w:b/>
                        <w:bCs/>
                        <w:color w:val="000000"/>
                        <w:sz w:val="20"/>
                        <w:szCs w:val="20"/>
                      </w:rPr>
                      <w:t xml:space="preserve">                                                                          </w:t>
                    </w:r>
                  </w:p>
                  <w:p w14:paraId="25E3050B" w14:textId="77777777" w:rsidR="00B46715" w:rsidRDefault="00B46715"/>
                </w:txbxContent>
              </v:textbox>
            </v:shape>
          </w:pict>
        </mc:Fallback>
      </mc:AlternateContent>
    </w:r>
    <w:sdt>
      <w:sdtPr>
        <w:id w:val="-2056838403"/>
        <w:docPartObj>
          <w:docPartGallery w:val="Page Numbers (Bottom of Page)"/>
          <w:docPartUnique/>
        </w:docPartObj>
      </w:sdtPr>
      <w:sdtEndPr/>
      <w:sdtContent>
        <w:sdt>
          <w:sdtPr>
            <w:id w:val="860082579"/>
            <w:docPartObj>
              <w:docPartGallery w:val="Page Numbers (Top of Page)"/>
              <w:docPartUnique/>
            </w:docPartObj>
          </w:sdtPr>
          <w:sdtEndPr/>
          <w:sdtContent>
            <w:r>
              <w:t xml:space="preserve">Page </w:t>
            </w:r>
            <w:r>
              <w:rPr>
                <w:b/>
                <w:bCs/>
                <w:sz w:val="24"/>
              </w:rPr>
              <w:fldChar w:fldCharType="begin"/>
            </w:r>
            <w:r>
              <w:rPr>
                <w:b/>
                <w:bCs/>
              </w:rPr>
              <w:instrText xml:space="preserve"> PAGE </w:instrText>
            </w:r>
            <w:r>
              <w:rPr>
                <w:b/>
                <w:bCs/>
                <w:sz w:val="24"/>
              </w:rPr>
              <w:fldChar w:fldCharType="separate"/>
            </w:r>
            <w:r w:rsidR="009F249C">
              <w:rPr>
                <w:b/>
                <w:bCs/>
                <w:noProof/>
              </w:rPr>
              <w:t>3</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F249C">
              <w:rPr>
                <w:b/>
                <w:bCs/>
                <w:noProof/>
              </w:rPr>
              <w:t>3</w:t>
            </w:r>
            <w:r>
              <w:rPr>
                <w:b/>
                <w:bCs/>
                <w:sz w:val="24"/>
              </w:rPr>
              <w:fldChar w:fldCharType="end"/>
            </w:r>
          </w:sdtContent>
        </w:sdt>
      </w:sdtContent>
    </w:sdt>
  </w:p>
  <w:p w14:paraId="3C04577F" w14:textId="77777777" w:rsidR="00B46715" w:rsidRDefault="00B46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B130C" w14:textId="77777777" w:rsidR="009417F7" w:rsidRDefault="009417F7" w:rsidP="00B03C0A">
      <w:r>
        <w:separator/>
      </w:r>
    </w:p>
  </w:footnote>
  <w:footnote w:type="continuationSeparator" w:id="0">
    <w:p w14:paraId="3F9669B6" w14:textId="77777777" w:rsidR="009417F7" w:rsidRDefault="009417F7" w:rsidP="00B03C0A">
      <w:r>
        <w:continuationSeparator/>
      </w:r>
    </w:p>
  </w:footnote>
  <w:footnote w:id="1">
    <w:p w14:paraId="4665CA84" w14:textId="415CE515" w:rsidR="00670F94" w:rsidRDefault="00670F94" w:rsidP="00670F94">
      <w:pPr>
        <w:autoSpaceDE w:val="0"/>
        <w:autoSpaceDN w:val="0"/>
        <w:rPr>
          <w:rFonts w:eastAsia="Times New Roman"/>
        </w:rPr>
      </w:pPr>
      <w:r>
        <w:rPr>
          <w:rStyle w:val="FootnoteReference"/>
        </w:rPr>
        <w:footnoteRef/>
      </w:r>
      <w:r>
        <w:t xml:space="preserve"> </w:t>
      </w:r>
      <w:hyperlink r:id="rId1" w:history="1">
        <w:r w:rsidRPr="00670F94">
          <w:rPr>
            <w:rStyle w:val="Hyperlink"/>
            <w:rFonts w:ascii="Garamond" w:hAnsi="Garamond" w:cs="Segoe UI"/>
            <w:sz w:val="20"/>
            <w:szCs w:val="20"/>
          </w:rPr>
          <w:t>https://www.cancer.org/cancer/breast-cancer/screening-tests-and-early-detection/american-cancer-society-recommendations-for-the-early-detection-of-breast-cancer.html</w:t>
        </w:r>
      </w:hyperlink>
      <w:r>
        <w:rPr>
          <w:rFonts w:ascii="Segoe UI" w:hAnsi="Segoe UI" w:cs="Segoe UI"/>
          <w:sz w:val="20"/>
          <w:szCs w:val="20"/>
        </w:rPr>
        <w:t xml:space="preserve"> </w:t>
      </w:r>
    </w:p>
    <w:p w14:paraId="476169BF" w14:textId="6E116942" w:rsidR="00670F94" w:rsidRDefault="00670F9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F065A" w14:textId="77777777" w:rsidR="00B46715" w:rsidRDefault="009F249C" w:rsidP="00701E1E">
    <w:pPr>
      <w:pStyle w:val="Header"/>
      <w:jc w:val="center"/>
    </w:pPr>
    <w:sdt>
      <w:sdtPr>
        <w:id w:val="125515519"/>
        <w:docPartObj>
          <w:docPartGallery w:val="Watermarks"/>
          <w:docPartUnique/>
        </w:docPartObj>
      </w:sdtPr>
      <w:sdtEndPr/>
      <w:sdtContent>
        <w:r>
          <w:rPr>
            <w:noProof/>
            <w:lang w:eastAsia="zh-TW"/>
          </w:rPr>
          <w:pict w14:anchorId="3D2B80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244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sdtContent>
    </w:sdt>
    <w:r w:rsidR="00B46715">
      <w:rPr>
        <w:noProof/>
      </w:rPr>
      <mc:AlternateContent>
        <mc:Choice Requires="wps">
          <w:drawing>
            <wp:anchor distT="0" distB="0" distL="114300" distR="114300" simplePos="0" relativeHeight="251657216" behindDoc="0" locked="0" layoutInCell="1" allowOverlap="1" wp14:anchorId="48E7AB86" wp14:editId="7AAC21AC">
              <wp:simplePos x="0" y="0"/>
              <wp:positionH relativeFrom="column">
                <wp:posOffset>2003425</wp:posOffset>
              </wp:positionH>
              <wp:positionV relativeFrom="paragraph">
                <wp:posOffset>205740</wp:posOffset>
              </wp:positionV>
              <wp:extent cx="4334494" cy="415636"/>
              <wp:effectExtent l="0" t="0" r="9525"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4494" cy="415636"/>
                      </a:xfrm>
                      <a:prstGeom prst="rect">
                        <a:avLst/>
                      </a:prstGeom>
                      <a:solidFill>
                        <a:srgbClr val="FFFFFF"/>
                      </a:solidFill>
                      <a:ln w="9525">
                        <a:noFill/>
                        <a:miter lim="800000"/>
                        <a:headEnd/>
                        <a:tailEnd/>
                      </a:ln>
                    </wps:spPr>
                    <wps:txbx>
                      <w:txbxContent>
                        <w:p w14:paraId="54B8C33E" w14:textId="77777777" w:rsidR="00B46715" w:rsidRPr="00EC3735" w:rsidRDefault="00B46715" w:rsidP="00701E1E">
                          <w:pPr>
                            <w:jc w:val="center"/>
                            <w:rPr>
                              <w:rFonts w:ascii="Cabin" w:hAnsi="Cabin"/>
                              <w:b/>
                              <w:color w:val="208F44"/>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E7AB86" id="_x0000_t202" coordsize="21600,21600" o:spt="202" path="m,l,21600r21600,l21600,xe">
              <v:stroke joinstyle="miter"/>
              <v:path gradientshapeok="t" o:connecttype="rect"/>
            </v:shapetype>
            <v:shape id="Text Box 2" o:spid="_x0000_s1026" type="#_x0000_t202" style="position:absolute;left:0;text-align:left;margin-left:157.75pt;margin-top:16.2pt;width:341.3pt;height:3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" stroked="f">
              <v:textbox>
                <w:txbxContent>
                  <w:p w14:paraId="54B8C33E" w14:textId="77777777" w:rsidR="00B46715" w:rsidRPr="00EC3735" w:rsidRDefault="00B46715" w:rsidP="00701E1E">
                    <w:pPr>
                      <w:jc w:val="center"/>
                      <w:rPr>
                        <w:rFonts w:ascii="Cabin" w:hAnsi="Cabin"/>
                        <w:b/>
                        <w:color w:val="208F44"/>
                        <w:sz w:val="40"/>
                        <w:szCs w:val="40"/>
                      </w:rPr>
                    </w:pPr>
                  </w:p>
                </w:txbxContent>
              </v:textbox>
            </v:shape>
          </w:pict>
        </mc:Fallback>
      </mc:AlternateContent>
    </w:r>
    <w:r w:rsidR="00B46715">
      <w:rPr>
        <w:noProof/>
      </w:rPr>
      <w:drawing>
        <wp:anchor distT="0" distB="0" distL="114300" distR="114300" simplePos="0" relativeHeight="251656192" behindDoc="0" locked="0" layoutInCell="1" allowOverlap="1" wp14:anchorId="3894B633" wp14:editId="3C1E9FF7">
          <wp:simplePos x="0" y="0"/>
          <wp:positionH relativeFrom="column">
            <wp:posOffset>-391795</wp:posOffset>
          </wp:positionH>
          <wp:positionV relativeFrom="paragraph">
            <wp:posOffset>78105</wp:posOffset>
          </wp:positionV>
          <wp:extent cx="2393406" cy="731520"/>
          <wp:effectExtent l="0" t="0" r="6985" b="0"/>
          <wp:wrapNone/>
          <wp:docPr id="6" name="Picture 6" descr="S:\Communications\Stock Images\NHPRI Logos\NHPRI-Logo-CMY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ommunications\Stock Images\NHPRI Logos\NHPRI-Logo-CMYK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3406" cy="731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848F6"/>
    <w:multiLevelType w:val="hybridMultilevel"/>
    <w:tmpl w:val="6FB034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E70AA"/>
    <w:multiLevelType w:val="hybridMultilevel"/>
    <w:tmpl w:val="CDE43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20AC3"/>
    <w:multiLevelType w:val="hybridMultilevel"/>
    <w:tmpl w:val="372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558B1"/>
    <w:multiLevelType w:val="hybridMultilevel"/>
    <w:tmpl w:val="91666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BC6906"/>
    <w:multiLevelType w:val="hybridMultilevel"/>
    <w:tmpl w:val="DDC2097E"/>
    <w:lvl w:ilvl="0" w:tplc="D7B4C49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C87BAC"/>
    <w:multiLevelType w:val="hybridMultilevel"/>
    <w:tmpl w:val="7024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0E1AF3"/>
    <w:multiLevelType w:val="hybridMultilevel"/>
    <w:tmpl w:val="3E3E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DF7232"/>
    <w:multiLevelType w:val="hybridMultilevel"/>
    <w:tmpl w:val="3796C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8E3FB7"/>
    <w:multiLevelType w:val="hybridMultilevel"/>
    <w:tmpl w:val="376E0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122892"/>
    <w:multiLevelType w:val="hybridMultilevel"/>
    <w:tmpl w:val="1C82E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C975F7"/>
    <w:multiLevelType w:val="hybridMultilevel"/>
    <w:tmpl w:val="BA08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5"/>
  </w:num>
  <w:num w:numId="5">
    <w:abstractNumId w:val="6"/>
  </w:num>
  <w:num w:numId="6">
    <w:abstractNumId w:val="9"/>
  </w:num>
  <w:num w:numId="7">
    <w:abstractNumId w:val="3"/>
  </w:num>
  <w:num w:numId="8">
    <w:abstractNumId w:val="1"/>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C0A"/>
    <w:rsid w:val="000163FD"/>
    <w:rsid w:val="00025ED4"/>
    <w:rsid w:val="00025F53"/>
    <w:rsid w:val="00061C36"/>
    <w:rsid w:val="000E29FE"/>
    <w:rsid w:val="000E47A3"/>
    <w:rsid w:val="0010048D"/>
    <w:rsid w:val="00110122"/>
    <w:rsid w:val="00115DB5"/>
    <w:rsid w:val="001400F2"/>
    <w:rsid w:val="00155565"/>
    <w:rsid w:val="00160AB0"/>
    <w:rsid w:val="0018266F"/>
    <w:rsid w:val="001D69BA"/>
    <w:rsid w:val="001F19A9"/>
    <w:rsid w:val="001F2DAA"/>
    <w:rsid w:val="002067F7"/>
    <w:rsid w:val="002233C7"/>
    <w:rsid w:val="002252CC"/>
    <w:rsid w:val="00237A0E"/>
    <w:rsid w:val="00237D38"/>
    <w:rsid w:val="00246E85"/>
    <w:rsid w:val="0026574D"/>
    <w:rsid w:val="00282D1A"/>
    <w:rsid w:val="002917A7"/>
    <w:rsid w:val="002C1791"/>
    <w:rsid w:val="002C390A"/>
    <w:rsid w:val="002C412B"/>
    <w:rsid w:val="002D7D48"/>
    <w:rsid w:val="002E271F"/>
    <w:rsid w:val="002F143C"/>
    <w:rsid w:val="002F191C"/>
    <w:rsid w:val="00301784"/>
    <w:rsid w:val="00301994"/>
    <w:rsid w:val="0031039E"/>
    <w:rsid w:val="003121ED"/>
    <w:rsid w:val="003172E8"/>
    <w:rsid w:val="00321495"/>
    <w:rsid w:val="00341A42"/>
    <w:rsid w:val="00354FEE"/>
    <w:rsid w:val="00356A17"/>
    <w:rsid w:val="0038185B"/>
    <w:rsid w:val="00394B39"/>
    <w:rsid w:val="003A4E75"/>
    <w:rsid w:val="003A6A0D"/>
    <w:rsid w:val="003B4834"/>
    <w:rsid w:val="003C7B6B"/>
    <w:rsid w:val="003D3642"/>
    <w:rsid w:val="003D4FE7"/>
    <w:rsid w:val="003E5786"/>
    <w:rsid w:val="003F05F1"/>
    <w:rsid w:val="003F6C2B"/>
    <w:rsid w:val="004442DB"/>
    <w:rsid w:val="004766C8"/>
    <w:rsid w:val="00477EED"/>
    <w:rsid w:val="004B7DBD"/>
    <w:rsid w:val="004C26B3"/>
    <w:rsid w:val="004C75CC"/>
    <w:rsid w:val="004D2018"/>
    <w:rsid w:val="004F6D30"/>
    <w:rsid w:val="00524A3C"/>
    <w:rsid w:val="0052736C"/>
    <w:rsid w:val="00566894"/>
    <w:rsid w:val="005956A9"/>
    <w:rsid w:val="006110A5"/>
    <w:rsid w:val="0061662E"/>
    <w:rsid w:val="00623253"/>
    <w:rsid w:val="00624E9F"/>
    <w:rsid w:val="00625897"/>
    <w:rsid w:val="006517EB"/>
    <w:rsid w:val="00663541"/>
    <w:rsid w:val="00670F94"/>
    <w:rsid w:val="006E4732"/>
    <w:rsid w:val="006F04B1"/>
    <w:rsid w:val="00701E1E"/>
    <w:rsid w:val="00711807"/>
    <w:rsid w:val="00712204"/>
    <w:rsid w:val="00715DAE"/>
    <w:rsid w:val="0073355A"/>
    <w:rsid w:val="007419E0"/>
    <w:rsid w:val="00780E85"/>
    <w:rsid w:val="00791B9D"/>
    <w:rsid w:val="007939C2"/>
    <w:rsid w:val="00796F1E"/>
    <w:rsid w:val="00797168"/>
    <w:rsid w:val="007D2FC6"/>
    <w:rsid w:val="007D5BA2"/>
    <w:rsid w:val="007F3EC1"/>
    <w:rsid w:val="0080244B"/>
    <w:rsid w:val="00807466"/>
    <w:rsid w:val="00807CB6"/>
    <w:rsid w:val="008110D8"/>
    <w:rsid w:val="00814CC1"/>
    <w:rsid w:val="00816B9F"/>
    <w:rsid w:val="0082193F"/>
    <w:rsid w:val="008407B5"/>
    <w:rsid w:val="00841466"/>
    <w:rsid w:val="008502B6"/>
    <w:rsid w:val="00854373"/>
    <w:rsid w:val="00877BFC"/>
    <w:rsid w:val="00897FD8"/>
    <w:rsid w:val="008A595B"/>
    <w:rsid w:val="008B634C"/>
    <w:rsid w:val="008E3212"/>
    <w:rsid w:val="008F0882"/>
    <w:rsid w:val="008F6F56"/>
    <w:rsid w:val="009210BA"/>
    <w:rsid w:val="00924C69"/>
    <w:rsid w:val="00925E0D"/>
    <w:rsid w:val="009275AC"/>
    <w:rsid w:val="009417F7"/>
    <w:rsid w:val="00943914"/>
    <w:rsid w:val="009629E4"/>
    <w:rsid w:val="00963721"/>
    <w:rsid w:val="00994F6C"/>
    <w:rsid w:val="009963ED"/>
    <w:rsid w:val="009A007F"/>
    <w:rsid w:val="009A3D84"/>
    <w:rsid w:val="009C08B1"/>
    <w:rsid w:val="009D4ACC"/>
    <w:rsid w:val="009E2F7C"/>
    <w:rsid w:val="009F249C"/>
    <w:rsid w:val="00A44226"/>
    <w:rsid w:val="00A67525"/>
    <w:rsid w:val="00A77A0F"/>
    <w:rsid w:val="00AA133F"/>
    <w:rsid w:val="00B03C0A"/>
    <w:rsid w:val="00B068FC"/>
    <w:rsid w:val="00B10EDC"/>
    <w:rsid w:val="00B22B54"/>
    <w:rsid w:val="00B23582"/>
    <w:rsid w:val="00B3483B"/>
    <w:rsid w:val="00B46715"/>
    <w:rsid w:val="00B54A00"/>
    <w:rsid w:val="00B6441C"/>
    <w:rsid w:val="00B665D3"/>
    <w:rsid w:val="00B739F9"/>
    <w:rsid w:val="00B81D2F"/>
    <w:rsid w:val="00BC7FF7"/>
    <w:rsid w:val="00BD1414"/>
    <w:rsid w:val="00BD75BF"/>
    <w:rsid w:val="00BE413D"/>
    <w:rsid w:val="00BE5421"/>
    <w:rsid w:val="00BF3C2E"/>
    <w:rsid w:val="00C04128"/>
    <w:rsid w:val="00C11E3C"/>
    <w:rsid w:val="00C1307B"/>
    <w:rsid w:val="00C20DB8"/>
    <w:rsid w:val="00C357FC"/>
    <w:rsid w:val="00C44759"/>
    <w:rsid w:val="00C6086D"/>
    <w:rsid w:val="00C756F3"/>
    <w:rsid w:val="00C8342A"/>
    <w:rsid w:val="00C83E79"/>
    <w:rsid w:val="00CA214D"/>
    <w:rsid w:val="00CA4650"/>
    <w:rsid w:val="00CB1D57"/>
    <w:rsid w:val="00CC6824"/>
    <w:rsid w:val="00CC7D40"/>
    <w:rsid w:val="00CD6817"/>
    <w:rsid w:val="00CE4CAB"/>
    <w:rsid w:val="00CE7096"/>
    <w:rsid w:val="00D35D81"/>
    <w:rsid w:val="00D44613"/>
    <w:rsid w:val="00D6496D"/>
    <w:rsid w:val="00DA6D27"/>
    <w:rsid w:val="00DB6FF1"/>
    <w:rsid w:val="00DC0323"/>
    <w:rsid w:val="00DD3664"/>
    <w:rsid w:val="00DF49B8"/>
    <w:rsid w:val="00E22C83"/>
    <w:rsid w:val="00E31C08"/>
    <w:rsid w:val="00E478F3"/>
    <w:rsid w:val="00E76D4C"/>
    <w:rsid w:val="00E84D0E"/>
    <w:rsid w:val="00EA1E4A"/>
    <w:rsid w:val="00EA2EC0"/>
    <w:rsid w:val="00ED17A3"/>
    <w:rsid w:val="00F37A22"/>
    <w:rsid w:val="00F37A9F"/>
    <w:rsid w:val="00F5407A"/>
    <w:rsid w:val="00F602E9"/>
    <w:rsid w:val="00F75FB6"/>
    <w:rsid w:val="00F90007"/>
    <w:rsid w:val="00FB497E"/>
    <w:rsid w:val="00FD09EF"/>
    <w:rsid w:val="00FD0A42"/>
    <w:rsid w:val="00FD2387"/>
    <w:rsid w:val="00FE33DB"/>
    <w:rsid w:val="00FF6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1F049C"/>
  <w15:docId w15:val="{67CB6FF3-2E36-485A-ADD1-8F7F99CBE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E1E"/>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22B54"/>
    <w:pPr>
      <w:tabs>
        <w:tab w:val="center" w:pos="4320"/>
        <w:tab w:val="right" w:pos="8640"/>
      </w:tabs>
    </w:pPr>
    <w:rPr>
      <w:rFonts w:ascii="Garamond" w:eastAsiaTheme="minorHAnsi" w:hAnsi="Garamond" w:cstheme="minorBidi"/>
      <w:sz w:val="16"/>
      <w:szCs w:val="24"/>
    </w:rPr>
  </w:style>
  <w:style w:type="character" w:customStyle="1" w:styleId="FooterChar">
    <w:name w:val="Footer Char"/>
    <w:basedOn w:val="DefaultParagraphFont"/>
    <w:link w:val="Footer"/>
    <w:uiPriority w:val="99"/>
    <w:rsid w:val="00B22B54"/>
    <w:rPr>
      <w:rFonts w:ascii="Garamond" w:hAnsi="Garamond"/>
      <w:sz w:val="16"/>
      <w:szCs w:val="24"/>
    </w:rPr>
  </w:style>
  <w:style w:type="paragraph" w:styleId="Header">
    <w:name w:val="header"/>
    <w:basedOn w:val="Normal"/>
    <w:link w:val="HeaderChar"/>
    <w:uiPriority w:val="99"/>
    <w:unhideWhenUsed/>
    <w:rsid w:val="00B03C0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B03C0A"/>
  </w:style>
  <w:style w:type="paragraph" w:styleId="BalloonText">
    <w:name w:val="Balloon Text"/>
    <w:basedOn w:val="Normal"/>
    <w:link w:val="BalloonTextChar"/>
    <w:uiPriority w:val="99"/>
    <w:semiHidden/>
    <w:unhideWhenUsed/>
    <w:rsid w:val="00B03C0A"/>
    <w:rPr>
      <w:rFonts w:ascii="Tahoma" w:hAnsi="Tahoma" w:cs="Tahoma"/>
      <w:sz w:val="16"/>
      <w:szCs w:val="16"/>
    </w:rPr>
  </w:style>
  <w:style w:type="character" w:customStyle="1" w:styleId="BalloonTextChar">
    <w:name w:val="Balloon Text Char"/>
    <w:basedOn w:val="DefaultParagraphFont"/>
    <w:link w:val="BalloonText"/>
    <w:uiPriority w:val="99"/>
    <w:semiHidden/>
    <w:rsid w:val="00B03C0A"/>
    <w:rPr>
      <w:rFonts w:ascii="Tahoma" w:hAnsi="Tahoma" w:cs="Tahoma"/>
      <w:sz w:val="16"/>
      <w:szCs w:val="16"/>
    </w:rPr>
  </w:style>
  <w:style w:type="table" w:customStyle="1" w:styleId="TableGrid3">
    <w:name w:val="Table Grid3"/>
    <w:basedOn w:val="TableNormal"/>
    <w:next w:val="TableGrid"/>
    <w:uiPriority w:val="59"/>
    <w:rsid w:val="00CD6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D6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83E79"/>
    <w:rPr>
      <w:sz w:val="20"/>
      <w:szCs w:val="20"/>
    </w:rPr>
  </w:style>
  <w:style w:type="character" w:customStyle="1" w:styleId="EndnoteTextChar">
    <w:name w:val="Endnote Text Char"/>
    <w:basedOn w:val="DefaultParagraphFont"/>
    <w:link w:val="EndnoteText"/>
    <w:uiPriority w:val="99"/>
    <w:semiHidden/>
    <w:rsid w:val="00C83E79"/>
    <w:rPr>
      <w:rFonts w:ascii="Times New Roman" w:eastAsia="PMingLiU" w:hAnsi="Times New Roman" w:cs="Times New Roman"/>
      <w:sz w:val="20"/>
      <w:szCs w:val="20"/>
    </w:rPr>
  </w:style>
  <w:style w:type="character" w:styleId="Hyperlink">
    <w:name w:val="Hyperlink"/>
    <w:basedOn w:val="DefaultParagraphFont"/>
    <w:uiPriority w:val="99"/>
    <w:unhideWhenUsed/>
    <w:rsid w:val="00C83E79"/>
    <w:rPr>
      <w:color w:val="0000FF" w:themeColor="hyperlink"/>
      <w:u w:val="single"/>
    </w:rPr>
  </w:style>
  <w:style w:type="character" w:styleId="EndnoteReference">
    <w:name w:val="endnote reference"/>
    <w:basedOn w:val="DefaultParagraphFont"/>
    <w:uiPriority w:val="99"/>
    <w:semiHidden/>
    <w:unhideWhenUsed/>
    <w:rsid w:val="00C83E79"/>
    <w:rPr>
      <w:vertAlign w:val="superscript"/>
    </w:rPr>
  </w:style>
  <w:style w:type="paragraph" w:styleId="ListParagraph">
    <w:name w:val="List Paragraph"/>
    <w:basedOn w:val="Normal"/>
    <w:uiPriority w:val="34"/>
    <w:qFormat/>
    <w:rsid w:val="001400F2"/>
    <w:pPr>
      <w:ind w:left="720"/>
      <w:contextualSpacing/>
    </w:pPr>
  </w:style>
  <w:style w:type="paragraph" w:styleId="FootnoteText">
    <w:name w:val="footnote text"/>
    <w:basedOn w:val="Normal"/>
    <w:link w:val="FootnoteTextChar"/>
    <w:uiPriority w:val="99"/>
    <w:semiHidden/>
    <w:unhideWhenUsed/>
    <w:rsid w:val="00CE4CAB"/>
    <w:rPr>
      <w:sz w:val="20"/>
      <w:szCs w:val="20"/>
    </w:rPr>
  </w:style>
  <w:style w:type="character" w:customStyle="1" w:styleId="FootnoteTextChar">
    <w:name w:val="Footnote Text Char"/>
    <w:basedOn w:val="DefaultParagraphFont"/>
    <w:link w:val="FootnoteText"/>
    <w:uiPriority w:val="99"/>
    <w:semiHidden/>
    <w:rsid w:val="00CE4CAB"/>
    <w:rPr>
      <w:rFonts w:ascii="Times New Roman" w:eastAsia="PMingLiU" w:hAnsi="Times New Roman" w:cs="Times New Roman"/>
      <w:sz w:val="20"/>
      <w:szCs w:val="20"/>
    </w:rPr>
  </w:style>
  <w:style w:type="character" w:styleId="FollowedHyperlink">
    <w:name w:val="FollowedHyperlink"/>
    <w:basedOn w:val="DefaultParagraphFont"/>
    <w:uiPriority w:val="99"/>
    <w:semiHidden/>
    <w:unhideWhenUsed/>
    <w:rsid w:val="00CA4650"/>
    <w:rPr>
      <w:color w:val="800080" w:themeColor="followedHyperlink"/>
      <w:u w:val="single"/>
    </w:rPr>
  </w:style>
  <w:style w:type="table" w:styleId="LightGrid-Accent3">
    <w:name w:val="Light Grid Accent 3"/>
    <w:basedOn w:val="TableNormal"/>
    <w:uiPriority w:val="62"/>
    <w:rsid w:val="00796F1E"/>
    <w:pPr>
      <w:spacing w:after="0" w:line="240" w:lineRule="auto"/>
    </w:pPr>
    <w:rPr>
      <w:rFonts w:ascii="Times New Roman" w:eastAsia="PMingLiU" w:hAnsi="Times New Roman"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
    <w:name w:val="Table Grid1"/>
    <w:basedOn w:val="TableNormal"/>
    <w:next w:val="TableGrid"/>
    <w:rsid w:val="00623253"/>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7FD8"/>
    <w:rPr>
      <w:sz w:val="16"/>
      <w:szCs w:val="16"/>
    </w:rPr>
  </w:style>
  <w:style w:type="paragraph" w:styleId="CommentText">
    <w:name w:val="annotation text"/>
    <w:basedOn w:val="Normal"/>
    <w:link w:val="CommentTextChar"/>
    <w:uiPriority w:val="99"/>
    <w:semiHidden/>
    <w:unhideWhenUsed/>
    <w:rsid w:val="00897FD8"/>
    <w:rPr>
      <w:sz w:val="20"/>
      <w:szCs w:val="20"/>
    </w:rPr>
  </w:style>
  <w:style w:type="character" w:customStyle="1" w:styleId="CommentTextChar">
    <w:name w:val="Comment Text Char"/>
    <w:basedOn w:val="DefaultParagraphFont"/>
    <w:link w:val="CommentText"/>
    <w:uiPriority w:val="99"/>
    <w:semiHidden/>
    <w:rsid w:val="00897FD8"/>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97FD8"/>
    <w:rPr>
      <w:b/>
      <w:bCs/>
    </w:rPr>
  </w:style>
  <w:style w:type="character" w:customStyle="1" w:styleId="CommentSubjectChar">
    <w:name w:val="Comment Subject Char"/>
    <w:basedOn w:val="CommentTextChar"/>
    <w:link w:val="CommentSubject"/>
    <w:uiPriority w:val="99"/>
    <w:semiHidden/>
    <w:rsid w:val="00897FD8"/>
    <w:rPr>
      <w:rFonts w:ascii="Times New Roman" w:eastAsia="PMingLiU" w:hAnsi="Times New Roman" w:cs="Times New Roman"/>
      <w:b/>
      <w:bCs/>
      <w:sz w:val="20"/>
      <w:szCs w:val="20"/>
    </w:rPr>
  </w:style>
  <w:style w:type="character" w:styleId="FootnoteReference">
    <w:name w:val="footnote reference"/>
    <w:basedOn w:val="DefaultParagraphFont"/>
    <w:uiPriority w:val="99"/>
    <w:semiHidden/>
    <w:unhideWhenUsed/>
    <w:rsid w:val="00670F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529722">
      <w:bodyDiv w:val="1"/>
      <w:marLeft w:val="0"/>
      <w:marRight w:val="0"/>
      <w:marTop w:val="0"/>
      <w:marBottom w:val="0"/>
      <w:divBdr>
        <w:top w:val="none" w:sz="0" w:space="0" w:color="auto"/>
        <w:left w:val="none" w:sz="0" w:space="0" w:color="auto"/>
        <w:bottom w:val="none" w:sz="0" w:space="0" w:color="auto"/>
        <w:right w:val="none" w:sz="0" w:space="0" w:color="auto"/>
      </w:divBdr>
    </w:div>
    <w:div w:id="207377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pri.org/providers/policies-and-guidelines/prior-authorization-reference-gui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hpri.org/providers/provider-resources/Forms/" TargetMode="External"/><Relationship Id="rId4" Type="http://schemas.openxmlformats.org/officeDocument/2006/relationships/settings" Target="settings.xml"/><Relationship Id="rId9" Type="http://schemas.openxmlformats.org/officeDocument/2006/relationships/hyperlink" Target="https://www.nhpri.org/providers/policies-and-guidelines/clinical-medical-policie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ancer.org/cancer/breast-cancer/screening-tests-and-early-detection/american-cancer-society-recommendations-for-the-early-detection-of-breast-cancer.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43817-19FD-4ED7-8206-57386273A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SC</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Rossetti</dc:creator>
  <cp:keywords/>
  <dc:description/>
  <cp:lastModifiedBy>Sara Wencis</cp:lastModifiedBy>
  <cp:revision>8</cp:revision>
  <dcterms:created xsi:type="dcterms:W3CDTF">2021-10-21T13:23:00Z</dcterms:created>
  <dcterms:modified xsi:type="dcterms:W3CDTF">2021-11-30T14:36:00Z</dcterms:modified>
</cp:coreProperties>
</file>