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0841" w14:textId="77777777" w:rsidR="00444168" w:rsidRPr="00444168" w:rsidRDefault="00444168" w:rsidP="00203166">
      <w:pPr>
        <w:spacing w:after="40"/>
        <w:ind w:left="-144" w:right="-288"/>
        <w:jc w:val="center"/>
        <w:rPr>
          <w:rFonts w:ascii="Cabin" w:hAnsi="Cabin"/>
          <w:b/>
          <w:bCs/>
          <w:color w:val="000000" w:themeColor="text1"/>
          <w:sz w:val="14"/>
          <w:szCs w:val="14"/>
        </w:rPr>
      </w:pPr>
      <w:r w:rsidRPr="00444168">
        <w:rPr>
          <w:rFonts w:ascii="Cabin" w:hAnsi="Cabin"/>
          <w:b/>
          <w:bCs/>
          <w:noProof/>
          <w:color w:val="000000" w:themeColor="text1"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4B6744ED" wp14:editId="53CC1096">
            <wp:simplePos x="0" y="0"/>
            <wp:positionH relativeFrom="margin">
              <wp:align>center</wp:align>
            </wp:positionH>
            <wp:positionV relativeFrom="paragraph">
              <wp:posOffset>-614680</wp:posOffset>
            </wp:positionV>
            <wp:extent cx="2027583" cy="621272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PRI-Logo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83" cy="62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3671A" w14:textId="43CD378A" w:rsidR="00657783" w:rsidRPr="00D25ED0" w:rsidRDefault="00FA52B4" w:rsidP="00D25ED0">
      <w:pPr>
        <w:spacing w:after="40"/>
        <w:ind w:left="-432" w:right="-432"/>
        <w:jc w:val="center"/>
        <w:rPr>
          <w:rFonts w:ascii="Cabin" w:hAnsi="Cabin" w:cstheme="minorHAnsi"/>
          <w:b/>
          <w:bCs/>
          <w:color w:val="000000" w:themeColor="text1"/>
          <w:sz w:val="24"/>
        </w:rPr>
      </w:pPr>
      <w:r>
        <w:rPr>
          <w:rFonts w:ascii="Cabin" w:hAnsi="Cabin" w:cstheme="minorHAnsi"/>
          <w:b/>
          <w:bCs/>
          <w:color w:val="000000" w:themeColor="text1"/>
          <w:sz w:val="24"/>
        </w:rPr>
        <w:t>Provider Manual Update</w:t>
      </w:r>
      <w:r w:rsidR="00CE14EC">
        <w:rPr>
          <w:rFonts w:ascii="Cabin" w:hAnsi="Cabin" w:cstheme="minorHAnsi"/>
          <w:b/>
          <w:bCs/>
          <w:color w:val="000000" w:themeColor="text1"/>
          <w:sz w:val="24"/>
        </w:rPr>
        <w:t>s</w:t>
      </w:r>
    </w:p>
    <w:p w14:paraId="1FF720D8" w14:textId="3C535277" w:rsidR="00C5672C" w:rsidRPr="00FD2729" w:rsidRDefault="00625298" w:rsidP="003655AD">
      <w:pPr>
        <w:pBdr>
          <w:bottom w:val="single" w:sz="4" w:space="1" w:color="auto"/>
        </w:pBdr>
        <w:spacing w:before="120" w:after="120"/>
        <w:jc w:val="center"/>
        <w:rPr>
          <w:rFonts w:ascii="Cabin" w:hAnsi="Cabin" w:cstheme="minorHAnsi"/>
          <w:b/>
          <w:color w:val="0D0D0D" w:themeColor="text1" w:themeTint="F2"/>
        </w:rPr>
      </w:pPr>
      <w:r>
        <w:rPr>
          <w:rFonts w:ascii="Cabin" w:hAnsi="Cabin"/>
          <w:b/>
          <w:bCs/>
          <w:color w:val="000000" w:themeColor="text1"/>
        </w:rPr>
        <w:t>2024</w:t>
      </w:r>
    </w:p>
    <w:p w14:paraId="1BEB86F8" w14:textId="5CCA19FD" w:rsidR="00060434" w:rsidRDefault="007807C3" w:rsidP="003655AD">
      <w:pPr>
        <w:mirrorIndents/>
        <w:jc w:val="both"/>
        <w:textAlignment w:val="baseline"/>
        <w:rPr>
          <w:rFonts w:ascii="Garamond" w:eastAsia="Garamond" w:hAnsi="Garamond"/>
          <w:color w:val="000000"/>
          <w:sz w:val="24"/>
        </w:rPr>
      </w:pPr>
      <w:r>
        <w:rPr>
          <w:rFonts w:ascii="Garamond" w:eastAsia="Garamond" w:hAnsi="Garamond"/>
          <w:color w:val="000000"/>
          <w:sz w:val="24"/>
        </w:rPr>
        <w:t>Below is</w:t>
      </w:r>
      <w:r w:rsidR="00A906A0">
        <w:rPr>
          <w:rFonts w:ascii="Garamond" w:eastAsia="Garamond" w:hAnsi="Garamond"/>
          <w:color w:val="000000"/>
          <w:sz w:val="24"/>
        </w:rPr>
        <w:t xml:space="preserve"> a summary of </w:t>
      </w:r>
      <w:r>
        <w:rPr>
          <w:rFonts w:ascii="Garamond" w:eastAsia="Garamond" w:hAnsi="Garamond"/>
          <w:color w:val="000000"/>
          <w:sz w:val="24"/>
        </w:rPr>
        <w:t xml:space="preserve">recent </w:t>
      </w:r>
      <w:r w:rsidR="00A906A0">
        <w:rPr>
          <w:rFonts w:ascii="Garamond" w:eastAsia="Garamond" w:hAnsi="Garamond"/>
          <w:color w:val="000000"/>
          <w:sz w:val="24"/>
        </w:rPr>
        <w:t xml:space="preserve">changes to the </w:t>
      </w:r>
      <w:hyperlink r:id="rId9" w:history="1">
        <w:r w:rsidR="00A906A0" w:rsidRPr="00EF1736">
          <w:rPr>
            <w:rStyle w:val="Hyperlink"/>
            <w:rFonts w:ascii="Garamond" w:eastAsia="Garamond" w:hAnsi="Garamond"/>
            <w:b/>
            <w:bCs/>
            <w:sz w:val="24"/>
          </w:rPr>
          <w:t>202</w:t>
        </w:r>
        <w:r w:rsidR="00625298" w:rsidRPr="00EF1736">
          <w:rPr>
            <w:rStyle w:val="Hyperlink"/>
            <w:rFonts w:ascii="Garamond" w:eastAsia="Garamond" w:hAnsi="Garamond"/>
            <w:b/>
            <w:bCs/>
            <w:sz w:val="24"/>
          </w:rPr>
          <w:t>4</w:t>
        </w:r>
        <w:r w:rsidR="00A906A0" w:rsidRPr="00EF1736">
          <w:rPr>
            <w:rStyle w:val="Hyperlink"/>
            <w:rFonts w:ascii="Garamond" w:eastAsia="Garamond" w:hAnsi="Garamond"/>
            <w:b/>
            <w:bCs/>
            <w:sz w:val="24"/>
          </w:rPr>
          <w:t xml:space="preserve"> Provider Manual</w:t>
        </w:r>
      </w:hyperlink>
      <w:r w:rsidR="00A906A0">
        <w:rPr>
          <w:rFonts w:ascii="Garamond" w:eastAsia="Garamond" w:hAnsi="Garamond"/>
          <w:color w:val="000000"/>
          <w:sz w:val="24"/>
        </w:rPr>
        <w:t xml:space="preserve">. </w:t>
      </w:r>
    </w:p>
    <w:p w14:paraId="79F60182" w14:textId="77777777" w:rsidR="00CE14EC" w:rsidRDefault="00CE14EC" w:rsidP="00706CC8">
      <w:pPr>
        <w:spacing w:after="80" w:line="252" w:lineRule="auto"/>
        <w:jc w:val="both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</w:p>
    <w:p w14:paraId="64709A2E" w14:textId="1E4BDF07" w:rsidR="00E8306F" w:rsidRDefault="00625298" w:rsidP="00E8306F">
      <w:pPr>
        <w:spacing w:after="80" w:line="252" w:lineRule="auto"/>
        <w:jc w:val="both"/>
        <w:textAlignment w:val="baseline"/>
        <w:rPr>
          <w:rFonts w:ascii="Garamond" w:eastAsia="Garamond" w:hAnsi="Garamond"/>
          <w:b/>
          <w:color w:val="000000"/>
          <w:sz w:val="36"/>
          <w:szCs w:val="36"/>
        </w:rPr>
      </w:pPr>
      <w:r>
        <w:rPr>
          <w:rFonts w:ascii="Garamond" w:eastAsia="Garamond" w:hAnsi="Garamond"/>
          <w:b/>
          <w:color w:val="000000"/>
          <w:sz w:val="36"/>
          <w:szCs w:val="36"/>
        </w:rPr>
        <w:t>March 1, 2024</w:t>
      </w:r>
    </w:p>
    <w:p w14:paraId="4ED7B4F8" w14:textId="77777777" w:rsidR="00E8306F" w:rsidRDefault="00E8306F" w:rsidP="00E8306F">
      <w:pPr>
        <w:spacing w:after="80" w:line="252" w:lineRule="auto"/>
        <w:jc w:val="both"/>
        <w:textAlignment w:val="baseline"/>
        <w:rPr>
          <w:rFonts w:ascii="Garamond" w:eastAsia="Garamond" w:hAnsi="Garamond"/>
          <w:b/>
          <w:color w:val="000000"/>
          <w:sz w:val="36"/>
          <w:szCs w:val="36"/>
        </w:rPr>
      </w:pPr>
    </w:p>
    <w:p w14:paraId="44467B44" w14:textId="40FB4F04" w:rsidR="00E8306F" w:rsidRPr="00112361" w:rsidRDefault="00E8306F" w:rsidP="00E8306F">
      <w:pPr>
        <w:spacing w:after="80" w:line="252" w:lineRule="auto"/>
        <w:jc w:val="both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bookmarkStart w:id="0" w:name="_Hlk160020674"/>
      <w:r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Section </w:t>
      </w:r>
      <w:r w:rsidR="00625298">
        <w:rPr>
          <w:rFonts w:ascii="Garamond" w:eastAsia="Garamond" w:hAnsi="Garamond"/>
          <w:b/>
          <w:color w:val="000000"/>
          <w:sz w:val="23"/>
          <w:szCs w:val="23"/>
          <w:u w:val="single"/>
        </w:rPr>
        <w:t>1</w:t>
      </w:r>
      <w:r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: </w:t>
      </w:r>
      <w:r w:rsidR="00625298">
        <w:rPr>
          <w:rFonts w:ascii="Garamond" w:eastAsia="Garamond" w:hAnsi="Garamond"/>
          <w:b/>
          <w:color w:val="000000"/>
          <w:sz w:val="23"/>
          <w:szCs w:val="23"/>
          <w:u w:val="single"/>
        </w:rPr>
        <w:t>Introduction to Neighborhood Health Plan of Rhode Island</w:t>
      </w:r>
      <w:r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  </w:t>
      </w:r>
      <w:bookmarkEnd w:id="0"/>
    </w:p>
    <w:p w14:paraId="3D97BA2E" w14:textId="65693F74" w:rsidR="00625298" w:rsidRPr="00625298" w:rsidRDefault="00625298" w:rsidP="00625298">
      <w:pPr>
        <w:pStyle w:val="ListParagraph"/>
        <w:numPr>
          <w:ilvl w:val="0"/>
          <w:numId w:val="22"/>
        </w:numPr>
        <w:spacing w:after="80" w:line="252" w:lineRule="auto"/>
        <w:ind w:left="792" w:right="144"/>
        <w:textAlignment w:val="baseline"/>
        <w:rPr>
          <w:rFonts w:ascii="Garamond" w:eastAsia="Garamond" w:hAnsi="Garamond"/>
          <w:b/>
          <w:color w:val="000000"/>
          <w:sz w:val="36"/>
          <w:szCs w:val="36"/>
        </w:rPr>
      </w:pPr>
      <w:r>
        <w:rPr>
          <w:rFonts w:ascii="Garamond" w:eastAsia="Garamond" w:hAnsi="Garamond"/>
          <w:b/>
          <w:color w:val="000000"/>
          <w:sz w:val="24"/>
          <w:szCs w:val="24"/>
          <w:u w:val="single"/>
        </w:rPr>
        <w:t>Quick Reference Guide</w:t>
      </w:r>
      <w:r w:rsidR="00E8306F">
        <w:rPr>
          <w:rFonts w:ascii="Garamond" w:eastAsia="Garamond" w:hAnsi="Garamond"/>
          <w:b/>
          <w:color w:val="000000"/>
          <w:sz w:val="24"/>
          <w:szCs w:val="24"/>
          <w:u w:val="single"/>
        </w:rPr>
        <w:t xml:space="preserve">: </w:t>
      </w:r>
      <w:r w:rsidR="007807C3">
        <w:rPr>
          <w:rFonts w:ascii="Garamond" w:eastAsia="Garamond" w:hAnsi="Garamond"/>
          <w:bCs/>
          <w:color w:val="000000"/>
          <w:sz w:val="24"/>
          <w:szCs w:val="24"/>
        </w:rPr>
        <w:t>Updated</w:t>
      </w:r>
      <w:r>
        <w:rPr>
          <w:rFonts w:ascii="Garamond" w:eastAsia="Garamond" w:hAnsi="Garamond"/>
          <w:bCs/>
          <w:color w:val="000000"/>
          <w:sz w:val="24"/>
          <w:szCs w:val="24"/>
        </w:rPr>
        <w:t xml:space="preserve"> title of “Provider Claim Dispute &amp; Provider-Initiated Appeal” form and e-form to “Provider Appeal” form and e-form</w:t>
      </w:r>
      <w:r w:rsidR="007807C3">
        <w:rPr>
          <w:rFonts w:ascii="Garamond" w:eastAsia="Garamond" w:hAnsi="Garamond"/>
          <w:bCs/>
          <w:color w:val="000000"/>
          <w:sz w:val="24"/>
          <w:szCs w:val="24"/>
        </w:rPr>
        <w:t>.</w:t>
      </w:r>
    </w:p>
    <w:p w14:paraId="0AC9A5D0" w14:textId="77777777" w:rsidR="00625298" w:rsidRDefault="00625298" w:rsidP="00625298">
      <w:p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>
        <w:rPr>
          <w:rFonts w:ascii="Garamond" w:eastAsia="Garamond" w:hAnsi="Garamond"/>
          <w:bCs/>
          <w:color w:val="000000"/>
          <w:sz w:val="24"/>
          <w:szCs w:val="24"/>
        </w:rPr>
        <w:br/>
      </w:r>
      <w:r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Section </w:t>
      </w: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>3</w:t>
      </w:r>
      <w:r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: </w:t>
      </w: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>Complaints and Appeals:</w:t>
      </w:r>
    </w:p>
    <w:p w14:paraId="273CA7F6" w14:textId="16BF0721" w:rsidR="00625298" w:rsidRPr="00625298" w:rsidRDefault="00625298" w:rsidP="00625298">
      <w:pPr>
        <w:numPr>
          <w:ilvl w:val="0"/>
          <w:numId w:val="22"/>
        </w:num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 w:rsidRPr="00C62BA5">
        <w:rPr>
          <w:rFonts w:ascii="Garamond" w:eastAsia="Garamond" w:hAnsi="Garamond"/>
          <w:b/>
          <w:color w:val="000000"/>
          <w:sz w:val="23"/>
          <w:szCs w:val="23"/>
          <w:u w:val="single"/>
        </w:rPr>
        <w:t>Provider Claim Appeals (Administrative Appeals</w:t>
      </w:r>
      <w:r w:rsidRPr="00C62BA5">
        <w:rPr>
          <w:rFonts w:ascii="Garamond" w:eastAsia="Garamond" w:hAnsi="Garamond"/>
          <w:bCs/>
          <w:color w:val="000000"/>
          <w:sz w:val="23"/>
          <w:szCs w:val="23"/>
          <w:u w:val="single"/>
        </w:rPr>
        <w:t>)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 xml:space="preserve">: </w:t>
      </w:r>
      <w:bookmarkStart w:id="1" w:name="_Hlk160021155"/>
      <w:r w:rsidR="007807C3">
        <w:rPr>
          <w:rFonts w:ascii="Garamond" w:eastAsia="Garamond" w:hAnsi="Garamond"/>
          <w:bCs/>
          <w:color w:val="000000"/>
          <w:sz w:val="23"/>
          <w:szCs w:val="23"/>
        </w:rPr>
        <w:t>Updated</w:t>
      </w:r>
      <w:r w:rsidR="00C62BA5" w:rsidRPr="00C62BA5">
        <w:rPr>
          <w:rFonts w:ascii="Garamond" w:eastAsia="Garamond" w:hAnsi="Garamond"/>
          <w:bCs/>
          <w:color w:val="000000"/>
          <w:sz w:val="23"/>
          <w:szCs w:val="23"/>
        </w:rPr>
        <w:t xml:space="preserve"> title</w:t>
      </w:r>
      <w:r w:rsidR="00C62BA5">
        <w:rPr>
          <w:rFonts w:ascii="Garamond" w:eastAsia="Garamond" w:hAnsi="Garamond"/>
          <w:bCs/>
          <w:color w:val="000000"/>
          <w:sz w:val="23"/>
          <w:szCs w:val="23"/>
        </w:rPr>
        <w:t xml:space="preserve"> of section</w:t>
      </w:r>
      <w:r w:rsidR="00C62BA5" w:rsidRPr="00C62BA5">
        <w:rPr>
          <w:rFonts w:ascii="Garamond" w:eastAsia="Garamond" w:hAnsi="Garamond"/>
          <w:bCs/>
          <w:color w:val="000000"/>
          <w:sz w:val="23"/>
          <w:szCs w:val="23"/>
        </w:rPr>
        <w:t xml:space="preserve"> from Provider Claim Disputes to Provider Claim Appeals (Administrative Appeals) and</w:t>
      </w:r>
      <w:r w:rsidR="00C62BA5">
        <w:rPr>
          <w:rFonts w:ascii="Garamond" w:eastAsia="Garamond" w:hAnsi="Garamond"/>
          <w:b/>
          <w:color w:val="000000"/>
          <w:sz w:val="23"/>
          <w:szCs w:val="23"/>
        </w:rPr>
        <w:t xml:space="preserve"> </w:t>
      </w:r>
      <w:bookmarkStart w:id="2" w:name="_Hlk160021208"/>
      <w:r w:rsidR="00C62BA5">
        <w:rPr>
          <w:rFonts w:ascii="Garamond" w:eastAsia="Garamond" w:hAnsi="Garamond"/>
          <w:bCs/>
          <w:color w:val="000000"/>
          <w:sz w:val="23"/>
          <w:szCs w:val="23"/>
        </w:rPr>
        <w:t>u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pdated </w:t>
      </w:r>
      <w:r w:rsidR="00C62BA5">
        <w:rPr>
          <w:rFonts w:ascii="Garamond" w:eastAsia="Garamond" w:hAnsi="Garamond"/>
          <w:bCs/>
          <w:color w:val="000000"/>
          <w:sz w:val="23"/>
          <w:szCs w:val="23"/>
        </w:rPr>
        <w:t>section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with language </w:t>
      </w:r>
      <w:r w:rsidR="007807C3">
        <w:rPr>
          <w:rFonts w:ascii="Garamond" w:eastAsia="Garamond" w:hAnsi="Garamond"/>
          <w:bCs/>
          <w:color w:val="000000"/>
          <w:sz w:val="23"/>
          <w:szCs w:val="23"/>
        </w:rPr>
        <w:t>to align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with January 1</w:t>
      </w:r>
      <w:r w:rsidR="00C62BA5">
        <w:rPr>
          <w:rFonts w:ascii="Garamond" w:eastAsia="Garamond" w:hAnsi="Garamond"/>
          <w:bCs/>
          <w:color w:val="000000"/>
          <w:sz w:val="23"/>
          <w:szCs w:val="23"/>
        </w:rPr>
        <w:t>, 2024</w:t>
      </w:r>
      <w:r w:rsidR="00D11747">
        <w:rPr>
          <w:rFonts w:ascii="Garamond" w:eastAsia="Garamond" w:hAnsi="Garamond"/>
          <w:bCs/>
          <w:color w:val="000000"/>
          <w:sz w:val="23"/>
          <w:szCs w:val="23"/>
        </w:rPr>
        <w:t xml:space="preserve"> notice: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</w:t>
      </w:r>
      <w:hyperlink r:id="rId10" w:history="1"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“Requests for Claim Review; Reminders and New Terminology</w:t>
        </w:r>
        <w:r w:rsidR="00D11747">
          <w:rPr>
            <w:rStyle w:val="Hyperlink"/>
            <w:rFonts w:ascii="Garamond" w:eastAsia="Garamond" w:hAnsi="Garamond"/>
            <w:bCs/>
            <w:sz w:val="23"/>
            <w:szCs w:val="23"/>
          </w:rPr>
          <w:t>.</w:t>
        </w:r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”</w:t>
        </w:r>
      </w:hyperlink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 </w:t>
      </w:r>
      <w:bookmarkEnd w:id="1"/>
    </w:p>
    <w:bookmarkEnd w:id="2"/>
    <w:p w14:paraId="4F1D5952" w14:textId="17E6A083" w:rsidR="00C62BA5" w:rsidRDefault="00625298" w:rsidP="00C62BA5">
      <w:p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  </w:t>
      </w:r>
      <w:r w:rsidR="00E8306F" w:rsidRPr="00625298">
        <w:rPr>
          <w:rFonts w:ascii="Garamond" w:eastAsia="Garamond" w:hAnsi="Garamond"/>
          <w:bCs/>
          <w:color w:val="000000"/>
          <w:sz w:val="24"/>
          <w:szCs w:val="24"/>
        </w:rPr>
        <w:br/>
      </w:r>
      <w:r w:rsidR="00C62BA5"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Section </w:t>
      </w:r>
      <w:r w:rsidR="00C62BA5">
        <w:rPr>
          <w:rFonts w:ascii="Garamond" w:eastAsia="Garamond" w:hAnsi="Garamond"/>
          <w:b/>
          <w:color w:val="000000"/>
          <w:sz w:val="23"/>
          <w:szCs w:val="23"/>
          <w:u w:val="single"/>
        </w:rPr>
        <w:t>4</w:t>
      </w:r>
      <w:r w:rsidR="00C62BA5" w:rsidRPr="00112361"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: </w:t>
      </w:r>
      <w:r w:rsidR="00C62BA5">
        <w:rPr>
          <w:rFonts w:ascii="Garamond" w:eastAsia="Garamond" w:hAnsi="Garamond"/>
          <w:b/>
          <w:color w:val="000000"/>
          <w:sz w:val="23"/>
          <w:szCs w:val="23"/>
          <w:u w:val="single"/>
        </w:rPr>
        <w:t>Billing and Reimbursement:</w:t>
      </w:r>
    </w:p>
    <w:p w14:paraId="2E6B652B" w14:textId="316484ED" w:rsidR="00C62BA5" w:rsidRPr="00C62BA5" w:rsidRDefault="00C62BA5" w:rsidP="00C62BA5">
      <w:pPr>
        <w:numPr>
          <w:ilvl w:val="0"/>
          <w:numId w:val="22"/>
        </w:num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Adjusted Claims: 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Updated section with language </w:t>
      </w:r>
      <w:r w:rsidR="007807C3">
        <w:rPr>
          <w:rFonts w:ascii="Garamond" w:eastAsia="Garamond" w:hAnsi="Garamond"/>
          <w:bCs/>
          <w:color w:val="000000"/>
          <w:sz w:val="23"/>
          <w:szCs w:val="23"/>
        </w:rPr>
        <w:t>to align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with January 1, 2024 </w:t>
      </w:r>
      <w:r w:rsidR="00D11747">
        <w:rPr>
          <w:rFonts w:ascii="Garamond" w:eastAsia="Garamond" w:hAnsi="Garamond"/>
          <w:bCs/>
          <w:color w:val="000000"/>
          <w:sz w:val="23"/>
          <w:szCs w:val="23"/>
        </w:rPr>
        <w:t xml:space="preserve">notice: </w:t>
      </w:r>
      <w:hyperlink r:id="rId11" w:history="1"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“Requests for Claim Review; Reminders and New Terminology</w:t>
        </w:r>
        <w:r w:rsidR="00D11747">
          <w:rPr>
            <w:rStyle w:val="Hyperlink"/>
            <w:rFonts w:ascii="Garamond" w:eastAsia="Garamond" w:hAnsi="Garamond"/>
            <w:bCs/>
            <w:sz w:val="23"/>
            <w:szCs w:val="23"/>
          </w:rPr>
          <w:t>.</w:t>
        </w:r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”</w:t>
        </w:r>
      </w:hyperlink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 </w:t>
      </w:r>
    </w:p>
    <w:p w14:paraId="33F86D3D" w14:textId="41B2FD4F" w:rsidR="00C62BA5" w:rsidRPr="00C62BA5" w:rsidRDefault="00C62BA5" w:rsidP="00C62BA5">
      <w:pPr>
        <w:numPr>
          <w:ilvl w:val="0"/>
          <w:numId w:val="22"/>
        </w:num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>Provider Claim Appeals</w:t>
      </w:r>
      <w:r>
        <w:rPr>
          <w:rFonts w:ascii="Garamond" w:eastAsia="Garamond" w:hAnsi="Garamond"/>
          <w:b/>
          <w:color w:val="000000"/>
          <w:sz w:val="23"/>
          <w:szCs w:val="23"/>
        </w:rPr>
        <w:t xml:space="preserve">: 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>Changed title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of section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 xml:space="preserve"> from </w:t>
      </w:r>
      <w:r>
        <w:rPr>
          <w:rFonts w:ascii="Garamond" w:eastAsia="Garamond" w:hAnsi="Garamond"/>
          <w:bCs/>
          <w:color w:val="000000"/>
          <w:sz w:val="23"/>
          <w:szCs w:val="23"/>
        </w:rPr>
        <w:t>“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>Provider Claim Disputes</w:t>
      </w:r>
      <w:r>
        <w:rPr>
          <w:rFonts w:ascii="Garamond" w:eastAsia="Garamond" w:hAnsi="Garamond"/>
          <w:bCs/>
          <w:color w:val="000000"/>
          <w:sz w:val="23"/>
          <w:szCs w:val="23"/>
        </w:rPr>
        <w:t>”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 xml:space="preserve"> to </w:t>
      </w:r>
      <w:r>
        <w:rPr>
          <w:rFonts w:ascii="Garamond" w:eastAsia="Garamond" w:hAnsi="Garamond"/>
          <w:bCs/>
          <w:color w:val="000000"/>
          <w:sz w:val="23"/>
          <w:szCs w:val="23"/>
        </w:rPr>
        <w:t>“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>Provider Claim Appeals</w:t>
      </w:r>
      <w:r>
        <w:rPr>
          <w:rFonts w:ascii="Garamond" w:eastAsia="Garamond" w:hAnsi="Garamond"/>
          <w:bCs/>
          <w:color w:val="000000"/>
          <w:sz w:val="23"/>
          <w:szCs w:val="23"/>
        </w:rPr>
        <w:t>”</w:t>
      </w:r>
      <w:r w:rsidRPr="00C62BA5">
        <w:rPr>
          <w:rFonts w:ascii="Garamond" w:eastAsia="Garamond" w:hAnsi="Garamond"/>
          <w:bCs/>
          <w:color w:val="000000"/>
          <w:sz w:val="23"/>
          <w:szCs w:val="23"/>
        </w:rPr>
        <w:t xml:space="preserve"> and</w:t>
      </w:r>
      <w:r>
        <w:rPr>
          <w:rFonts w:ascii="Garamond" w:eastAsia="Garamond" w:hAnsi="Garamond"/>
          <w:b/>
          <w:color w:val="000000"/>
          <w:sz w:val="23"/>
          <w:szCs w:val="23"/>
        </w:rPr>
        <w:t xml:space="preserve"> 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updated section with language </w:t>
      </w:r>
      <w:r w:rsidR="007807C3">
        <w:rPr>
          <w:rFonts w:ascii="Garamond" w:eastAsia="Garamond" w:hAnsi="Garamond"/>
          <w:bCs/>
          <w:color w:val="000000"/>
          <w:sz w:val="23"/>
          <w:szCs w:val="23"/>
        </w:rPr>
        <w:t>to align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with January 1, 2024</w:t>
      </w:r>
      <w:r w:rsidR="00D11747">
        <w:rPr>
          <w:rFonts w:ascii="Garamond" w:eastAsia="Garamond" w:hAnsi="Garamond"/>
          <w:bCs/>
          <w:color w:val="000000"/>
          <w:sz w:val="23"/>
          <w:szCs w:val="23"/>
        </w:rPr>
        <w:t xml:space="preserve"> notice: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</w:t>
      </w:r>
      <w:hyperlink r:id="rId12" w:history="1"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“Requests for Claim Review; Reminders and New Terminology</w:t>
        </w:r>
        <w:r w:rsidR="00D11747">
          <w:rPr>
            <w:rStyle w:val="Hyperlink"/>
            <w:rFonts w:ascii="Garamond" w:eastAsia="Garamond" w:hAnsi="Garamond"/>
            <w:bCs/>
            <w:sz w:val="23"/>
            <w:szCs w:val="23"/>
          </w:rPr>
          <w:t>.</w:t>
        </w:r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”</w:t>
        </w:r>
      </w:hyperlink>
    </w:p>
    <w:p w14:paraId="1388AEFD" w14:textId="60FBE91A" w:rsidR="00C62BA5" w:rsidRPr="00C62BA5" w:rsidRDefault="00C62BA5" w:rsidP="00C62BA5">
      <w:pPr>
        <w:numPr>
          <w:ilvl w:val="0"/>
          <w:numId w:val="22"/>
        </w:num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Claim Reconsideration Request: 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Updated section with language </w:t>
      </w:r>
      <w:r w:rsidR="007807C3">
        <w:rPr>
          <w:rFonts w:ascii="Garamond" w:eastAsia="Garamond" w:hAnsi="Garamond"/>
          <w:bCs/>
          <w:color w:val="000000"/>
          <w:sz w:val="23"/>
          <w:szCs w:val="23"/>
        </w:rPr>
        <w:t>to align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with January 1, 2024</w:t>
      </w:r>
      <w:r w:rsidR="00D11747">
        <w:rPr>
          <w:rFonts w:ascii="Garamond" w:eastAsia="Garamond" w:hAnsi="Garamond"/>
          <w:bCs/>
          <w:color w:val="000000"/>
          <w:sz w:val="23"/>
          <w:szCs w:val="23"/>
        </w:rPr>
        <w:t xml:space="preserve"> notice: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</w:t>
      </w:r>
      <w:hyperlink r:id="rId13" w:history="1"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“Requests for Claim Review; Reminders and New Terminology</w:t>
        </w:r>
        <w:r w:rsidR="00D11747">
          <w:rPr>
            <w:rStyle w:val="Hyperlink"/>
            <w:rFonts w:ascii="Garamond" w:eastAsia="Garamond" w:hAnsi="Garamond"/>
            <w:bCs/>
            <w:sz w:val="23"/>
            <w:szCs w:val="23"/>
          </w:rPr>
          <w:t>.</w:t>
        </w:r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”</w:t>
        </w:r>
      </w:hyperlink>
      <w:r>
        <w:rPr>
          <w:rFonts w:ascii="Garamond" w:eastAsia="Garamond" w:hAnsi="Garamond"/>
          <w:bCs/>
          <w:color w:val="000000"/>
          <w:sz w:val="23"/>
          <w:szCs w:val="23"/>
        </w:rPr>
        <w:br/>
      </w:r>
    </w:p>
    <w:p w14:paraId="7A0677EE" w14:textId="3378ABB7" w:rsidR="00C62BA5" w:rsidRPr="00625298" w:rsidRDefault="00C62BA5" w:rsidP="00C62BA5">
      <w:p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>Section 5: Authorization Process and Medical Management</w:t>
      </w:r>
    </w:p>
    <w:p w14:paraId="09C40F09" w14:textId="0AE631CC" w:rsidR="00C62BA5" w:rsidRPr="00C62BA5" w:rsidRDefault="00C62BA5" w:rsidP="00C62BA5">
      <w:pPr>
        <w:numPr>
          <w:ilvl w:val="0"/>
          <w:numId w:val="22"/>
        </w:num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23"/>
          <w:szCs w:val="23"/>
          <w:u w:val="single"/>
        </w:rPr>
      </w:pPr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Retroactive Authorization Requests: 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Updated section with language </w:t>
      </w:r>
      <w:r w:rsidR="007807C3">
        <w:rPr>
          <w:rFonts w:ascii="Garamond" w:eastAsia="Garamond" w:hAnsi="Garamond"/>
          <w:bCs/>
          <w:color w:val="000000"/>
          <w:sz w:val="23"/>
          <w:szCs w:val="23"/>
        </w:rPr>
        <w:t>to align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with January 1, 2024</w:t>
      </w:r>
      <w:r w:rsidR="00D11747">
        <w:rPr>
          <w:rFonts w:ascii="Garamond" w:eastAsia="Garamond" w:hAnsi="Garamond"/>
          <w:bCs/>
          <w:color w:val="000000"/>
          <w:sz w:val="23"/>
          <w:szCs w:val="23"/>
        </w:rPr>
        <w:t xml:space="preserve"> notice:</w:t>
      </w:r>
      <w:r>
        <w:rPr>
          <w:rFonts w:ascii="Garamond" w:eastAsia="Garamond" w:hAnsi="Garamond"/>
          <w:bCs/>
          <w:color w:val="000000"/>
          <w:sz w:val="23"/>
          <w:szCs w:val="23"/>
        </w:rPr>
        <w:t xml:space="preserve"> </w:t>
      </w:r>
      <w:hyperlink r:id="rId14" w:history="1"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“Requests for Claim Review; Reminders and New Terminology</w:t>
        </w:r>
        <w:r w:rsidR="00D11747">
          <w:rPr>
            <w:rStyle w:val="Hyperlink"/>
            <w:rFonts w:ascii="Garamond" w:eastAsia="Garamond" w:hAnsi="Garamond"/>
            <w:bCs/>
            <w:sz w:val="23"/>
            <w:szCs w:val="23"/>
          </w:rPr>
          <w:t>.</w:t>
        </w:r>
        <w:r w:rsidRPr="00625298">
          <w:rPr>
            <w:rStyle w:val="Hyperlink"/>
            <w:rFonts w:ascii="Garamond" w:eastAsia="Garamond" w:hAnsi="Garamond"/>
            <w:bCs/>
            <w:sz w:val="23"/>
            <w:szCs w:val="23"/>
          </w:rPr>
          <w:t>”</w:t>
        </w:r>
      </w:hyperlink>
      <w:r>
        <w:rPr>
          <w:rFonts w:ascii="Garamond" w:eastAsia="Garamond" w:hAnsi="Garamond"/>
          <w:b/>
          <w:color w:val="000000"/>
          <w:sz w:val="23"/>
          <w:szCs w:val="23"/>
          <w:u w:val="single"/>
        </w:rPr>
        <w:t xml:space="preserve"> </w:t>
      </w:r>
    </w:p>
    <w:p w14:paraId="4B33DD7B" w14:textId="5C839DD1" w:rsidR="00E8306F" w:rsidRPr="00625298" w:rsidRDefault="00E8306F" w:rsidP="00625298">
      <w:pPr>
        <w:spacing w:after="80" w:line="252" w:lineRule="auto"/>
        <w:ind w:right="144"/>
        <w:textAlignment w:val="baseline"/>
        <w:rPr>
          <w:rFonts w:ascii="Garamond" w:eastAsia="Garamond" w:hAnsi="Garamond"/>
          <w:b/>
          <w:color w:val="000000"/>
          <w:sz w:val="36"/>
          <w:szCs w:val="36"/>
        </w:rPr>
      </w:pPr>
    </w:p>
    <w:p w14:paraId="1BDE61C7" w14:textId="57D5232C" w:rsidR="00664CA3" w:rsidRPr="00A847BA" w:rsidRDefault="00664CA3" w:rsidP="00664CA3">
      <w:pPr>
        <w:spacing w:line="252" w:lineRule="auto"/>
        <w:rPr>
          <w:rFonts w:ascii="Garamond" w:hAnsi="Garamond"/>
          <w:b/>
          <w:sz w:val="23"/>
          <w:szCs w:val="23"/>
          <w:u w:val="single"/>
        </w:rPr>
      </w:pPr>
    </w:p>
    <w:sectPr w:rsidR="00664CA3" w:rsidRPr="00A847BA" w:rsidSect="00203166">
      <w:footerReference w:type="default" r:id="rId15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7FB6" w14:textId="77777777" w:rsidR="00203166" w:rsidRDefault="00203166" w:rsidP="00203166">
      <w:pPr>
        <w:spacing w:after="0" w:line="240" w:lineRule="auto"/>
      </w:pPr>
      <w:r>
        <w:separator/>
      </w:r>
    </w:p>
  </w:endnote>
  <w:endnote w:type="continuationSeparator" w:id="0">
    <w:p w14:paraId="7A56D179" w14:textId="77777777" w:rsidR="00203166" w:rsidRDefault="00203166" w:rsidP="0020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224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2DA8E5" w14:textId="64C9A47D" w:rsidR="00203166" w:rsidRDefault="00203166" w:rsidP="00203166">
            <w:pPr>
              <w:pStyle w:val="Footer"/>
            </w:pPr>
            <w:r w:rsidRPr="00203166">
              <w:rPr>
                <w:rFonts w:ascii="Cabin" w:hAnsi="Cabin"/>
                <w:sz w:val="16"/>
                <w:szCs w:val="16"/>
              </w:rPr>
              <w:t xml:space="preserve">Neighborhood News – </w:t>
            </w:r>
            <w:r w:rsidR="0060208C">
              <w:rPr>
                <w:rFonts w:ascii="Cabin" w:hAnsi="Cabin"/>
                <w:sz w:val="16"/>
                <w:szCs w:val="16"/>
              </w:rPr>
              <w:t>Ma</w:t>
            </w:r>
            <w:r w:rsidR="00D11747">
              <w:rPr>
                <w:rFonts w:ascii="Cabin" w:hAnsi="Cabin"/>
                <w:sz w:val="16"/>
                <w:szCs w:val="16"/>
              </w:rPr>
              <w:t>rch</w:t>
            </w:r>
            <w:r w:rsidR="008A5C6B">
              <w:rPr>
                <w:rFonts w:ascii="Cabin" w:hAnsi="Cabin"/>
                <w:sz w:val="16"/>
                <w:szCs w:val="16"/>
              </w:rPr>
              <w:t xml:space="preserve"> 202</w:t>
            </w:r>
            <w:r w:rsidR="00D11747">
              <w:rPr>
                <w:rFonts w:ascii="Cabin" w:hAnsi="Cabin"/>
                <w:sz w:val="16"/>
                <w:szCs w:val="16"/>
              </w:rPr>
              <w:t>4</w:t>
            </w:r>
            <w:r w:rsidRPr="00203166">
              <w:rPr>
                <w:rFonts w:ascii="Cabin" w:hAnsi="Cabin"/>
                <w:sz w:val="16"/>
                <w:szCs w:val="16"/>
              </w:rPr>
              <w:t xml:space="preserve">   </w:t>
            </w:r>
            <w:r w:rsidRPr="00203166">
              <w:rPr>
                <w:rFonts w:ascii="Cabin" w:hAnsi="Cabin"/>
                <w:sz w:val="16"/>
                <w:szCs w:val="16"/>
              </w:rPr>
              <w:tab/>
            </w:r>
            <w:r w:rsidRPr="00203166">
              <w:rPr>
                <w:rFonts w:ascii="Cabin" w:hAnsi="Cabin"/>
                <w:sz w:val="16"/>
                <w:szCs w:val="16"/>
              </w:rPr>
              <w:tab/>
              <w:t xml:space="preserve">Page </w:t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fldChar w:fldCharType="begin"/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instrText xml:space="preserve"> PAGE </w:instrText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fldChar w:fldCharType="separate"/>
            </w:r>
            <w:r w:rsidR="00706CC8">
              <w:rPr>
                <w:rFonts w:ascii="Cabin" w:hAnsi="Cabin"/>
                <w:b/>
                <w:bCs/>
                <w:noProof/>
                <w:sz w:val="16"/>
                <w:szCs w:val="16"/>
              </w:rPr>
              <w:t>1</w:t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fldChar w:fldCharType="end"/>
            </w:r>
            <w:r w:rsidRPr="00203166">
              <w:rPr>
                <w:rFonts w:ascii="Cabin" w:hAnsi="Cabin"/>
                <w:sz w:val="16"/>
                <w:szCs w:val="16"/>
              </w:rPr>
              <w:t xml:space="preserve"> of </w:t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fldChar w:fldCharType="begin"/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instrText xml:space="preserve"> NUMPAGES  </w:instrText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fldChar w:fldCharType="separate"/>
            </w:r>
            <w:r w:rsidR="00706CC8">
              <w:rPr>
                <w:rFonts w:ascii="Cabin" w:hAnsi="Cabin"/>
                <w:b/>
                <w:bCs/>
                <w:noProof/>
                <w:sz w:val="16"/>
                <w:szCs w:val="16"/>
              </w:rPr>
              <w:t>1</w:t>
            </w:r>
            <w:r w:rsidRPr="00203166">
              <w:rPr>
                <w:rFonts w:ascii="Cabin" w:hAnsi="Cabi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B51BF3" w14:textId="77777777" w:rsidR="00203166" w:rsidRDefault="00203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6400" w14:textId="77777777" w:rsidR="00203166" w:rsidRDefault="00203166" w:rsidP="00203166">
      <w:pPr>
        <w:spacing w:after="0" w:line="240" w:lineRule="auto"/>
      </w:pPr>
      <w:r>
        <w:separator/>
      </w:r>
    </w:p>
  </w:footnote>
  <w:footnote w:type="continuationSeparator" w:id="0">
    <w:p w14:paraId="65413429" w14:textId="77777777" w:rsidR="00203166" w:rsidRDefault="00203166" w:rsidP="0020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48C"/>
    <w:multiLevelType w:val="hybridMultilevel"/>
    <w:tmpl w:val="858EFB2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CF97020"/>
    <w:multiLevelType w:val="hybridMultilevel"/>
    <w:tmpl w:val="BBFE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1BF0"/>
    <w:multiLevelType w:val="hybridMultilevel"/>
    <w:tmpl w:val="1FE2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1647"/>
    <w:multiLevelType w:val="hybridMultilevel"/>
    <w:tmpl w:val="CDD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508A"/>
    <w:multiLevelType w:val="hybridMultilevel"/>
    <w:tmpl w:val="F23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D8C"/>
    <w:multiLevelType w:val="hybridMultilevel"/>
    <w:tmpl w:val="830C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237"/>
    <w:multiLevelType w:val="hybridMultilevel"/>
    <w:tmpl w:val="10FE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F1406"/>
    <w:multiLevelType w:val="hybridMultilevel"/>
    <w:tmpl w:val="59F8FBCE"/>
    <w:lvl w:ilvl="0" w:tplc="9548935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C51CF0"/>
    <w:multiLevelType w:val="hybridMultilevel"/>
    <w:tmpl w:val="BD14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33C47"/>
    <w:multiLevelType w:val="hybridMultilevel"/>
    <w:tmpl w:val="5E5E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157A9"/>
    <w:multiLevelType w:val="hybridMultilevel"/>
    <w:tmpl w:val="592ED6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03E6752"/>
    <w:multiLevelType w:val="hybridMultilevel"/>
    <w:tmpl w:val="6AF4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A348F"/>
    <w:multiLevelType w:val="hybridMultilevel"/>
    <w:tmpl w:val="02EC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59D3"/>
    <w:multiLevelType w:val="hybridMultilevel"/>
    <w:tmpl w:val="8F3C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11C54"/>
    <w:multiLevelType w:val="hybridMultilevel"/>
    <w:tmpl w:val="3AD67F6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B600EB5"/>
    <w:multiLevelType w:val="hybridMultilevel"/>
    <w:tmpl w:val="B134B1F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E766BE0"/>
    <w:multiLevelType w:val="hybridMultilevel"/>
    <w:tmpl w:val="6C7E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164EC"/>
    <w:multiLevelType w:val="hybridMultilevel"/>
    <w:tmpl w:val="DAB4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6BD5"/>
    <w:multiLevelType w:val="hybridMultilevel"/>
    <w:tmpl w:val="18EA3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B107F9"/>
    <w:multiLevelType w:val="hybridMultilevel"/>
    <w:tmpl w:val="FF2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A4BBC"/>
    <w:multiLevelType w:val="hybridMultilevel"/>
    <w:tmpl w:val="B380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1C00"/>
    <w:multiLevelType w:val="hybridMultilevel"/>
    <w:tmpl w:val="AF1C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79450">
    <w:abstractNumId w:val="15"/>
  </w:num>
  <w:num w:numId="2" w16cid:durableId="361588692">
    <w:abstractNumId w:val="14"/>
  </w:num>
  <w:num w:numId="3" w16cid:durableId="919145349">
    <w:abstractNumId w:val="9"/>
  </w:num>
  <w:num w:numId="4" w16cid:durableId="331228199">
    <w:abstractNumId w:val="12"/>
  </w:num>
  <w:num w:numId="5" w16cid:durableId="566306670">
    <w:abstractNumId w:val="17"/>
  </w:num>
  <w:num w:numId="6" w16cid:durableId="1379426873">
    <w:abstractNumId w:val="18"/>
  </w:num>
  <w:num w:numId="7" w16cid:durableId="1545748664">
    <w:abstractNumId w:val="2"/>
  </w:num>
  <w:num w:numId="8" w16cid:durableId="1146387079">
    <w:abstractNumId w:val="6"/>
  </w:num>
  <w:num w:numId="9" w16cid:durableId="1200432921">
    <w:abstractNumId w:val="3"/>
  </w:num>
  <w:num w:numId="10" w16cid:durableId="817957958">
    <w:abstractNumId w:val="4"/>
  </w:num>
  <w:num w:numId="11" w16cid:durableId="290521238">
    <w:abstractNumId w:val="21"/>
  </w:num>
  <w:num w:numId="12" w16cid:durableId="1910380257">
    <w:abstractNumId w:val="20"/>
  </w:num>
  <w:num w:numId="13" w16cid:durableId="692347309">
    <w:abstractNumId w:val="5"/>
  </w:num>
  <w:num w:numId="14" w16cid:durableId="1671831216">
    <w:abstractNumId w:val="10"/>
  </w:num>
  <w:num w:numId="15" w16cid:durableId="1364940962">
    <w:abstractNumId w:val="16"/>
  </w:num>
  <w:num w:numId="16" w16cid:durableId="1367560326">
    <w:abstractNumId w:val="11"/>
  </w:num>
  <w:num w:numId="17" w16cid:durableId="1358234934">
    <w:abstractNumId w:val="1"/>
  </w:num>
  <w:num w:numId="18" w16cid:durableId="1846363453">
    <w:abstractNumId w:val="8"/>
  </w:num>
  <w:num w:numId="19" w16cid:durableId="973104153">
    <w:abstractNumId w:val="19"/>
  </w:num>
  <w:num w:numId="20" w16cid:durableId="1063067520">
    <w:abstractNumId w:val="13"/>
  </w:num>
  <w:num w:numId="21" w16cid:durableId="1777797210">
    <w:abstractNumId w:val="0"/>
  </w:num>
  <w:num w:numId="22" w16cid:durableId="376246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2C"/>
    <w:rsid w:val="00000B3A"/>
    <w:rsid w:val="00032B9B"/>
    <w:rsid w:val="00056F8B"/>
    <w:rsid w:val="00060434"/>
    <w:rsid w:val="0008336C"/>
    <w:rsid w:val="00112361"/>
    <w:rsid w:val="00135929"/>
    <w:rsid w:val="0014425B"/>
    <w:rsid w:val="00167F2C"/>
    <w:rsid w:val="0018654D"/>
    <w:rsid w:val="001C56A8"/>
    <w:rsid w:val="001E44C8"/>
    <w:rsid w:val="00203166"/>
    <w:rsid w:val="00214221"/>
    <w:rsid w:val="002B7C87"/>
    <w:rsid w:val="002C660E"/>
    <w:rsid w:val="00345C31"/>
    <w:rsid w:val="003655AD"/>
    <w:rsid w:val="00365E1E"/>
    <w:rsid w:val="003741D0"/>
    <w:rsid w:val="003F5314"/>
    <w:rsid w:val="00444015"/>
    <w:rsid w:val="00444168"/>
    <w:rsid w:val="00470FA9"/>
    <w:rsid w:val="0047331C"/>
    <w:rsid w:val="004A4155"/>
    <w:rsid w:val="004A53F3"/>
    <w:rsid w:val="005C206F"/>
    <w:rsid w:val="0060208C"/>
    <w:rsid w:val="0061232B"/>
    <w:rsid w:val="00617182"/>
    <w:rsid w:val="00625298"/>
    <w:rsid w:val="006526BC"/>
    <w:rsid w:val="00657783"/>
    <w:rsid w:val="00664CA3"/>
    <w:rsid w:val="006A5A28"/>
    <w:rsid w:val="006B5C83"/>
    <w:rsid w:val="006C3501"/>
    <w:rsid w:val="006D1569"/>
    <w:rsid w:val="00706CC8"/>
    <w:rsid w:val="0072073F"/>
    <w:rsid w:val="00725FD1"/>
    <w:rsid w:val="00756D3B"/>
    <w:rsid w:val="007807C3"/>
    <w:rsid w:val="007B7F21"/>
    <w:rsid w:val="008A5C6B"/>
    <w:rsid w:val="009D3087"/>
    <w:rsid w:val="009F4F00"/>
    <w:rsid w:val="00A034E1"/>
    <w:rsid w:val="00A12D7E"/>
    <w:rsid w:val="00A77B77"/>
    <w:rsid w:val="00A847BA"/>
    <w:rsid w:val="00A8541F"/>
    <w:rsid w:val="00A906A0"/>
    <w:rsid w:val="00AA1069"/>
    <w:rsid w:val="00AB3BA8"/>
    <w:rsid w:val="00AE2327"/>
    <w:rsid w:val="00AE7122"/>
    <w:rsid w:val="00AF29EE"/>
    <w:rsid w:val="00B8091A"/>
    <w:rsid w:val="00B84DA7"/>
    <w:rsid w:val="00BB7331"/>
    <w:rsid w:val="00BE7FEF"/>
    <w:rsid w:val="00BF5A0F"/>
    <w:rsid w:val="00C5672C"/>
    <w:rsid w:val="00C62BA5"/>
    <w:rsid w:val="00C94948"/>
    <w:rsid w:val="00CE14EC"/>
    <w:rsid w:val="00CE3E91"/>
    <w:rsid w:val="00D11747"/>
    <w:rsid w:val="00D25ED0"/>
    <w:rsid w:val="00D5107C"/>
    <w:rsid w:val="00D827ED"/>
    <w:rsid w:val="00DC54AA"/>
    <w:rsid w:val="00E06532"/>
    <w:rsid w:val="00E10ECD"/>
    <w:rsid w:val="00E12C46"/>
    <w:rsid w:val="00E5498B"/>
    <w:rsid w:val="00E56B8B"/>
    <w:rsid w:val="00E75AB6"/>
    <w:rsid w:val="00E82F8F"/>
    <w:rsid w:val="00E8306F"/>
    <w:rsid w:val="00EC3A08"/>
    <w:rsid w:val="00EF1736"/>
    <w:rsid w:val="00EF595A"/>
    <w:rsid w:val="00EF5C51"/>
    <w:rsid w:val="00F46515"/>
    <w:rsid w:val="00F50639"/>
    <w:rsid w:val="00F50D2C"/>
    <w:rsid w:val="00F77848"/>
    <w:rsid w:val="00FA52B4"/>
    <w:rsid w:val="00FC6E66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7B7D"/>
  <w15:chartTrackingRefBased/>
  <w15:docId w15:val="{EF83B6D7-9E3D-45ED-AF8C-551856BD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1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345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72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7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66"/>
  </w:style>
  <w:style w:type="paragraph" w:styleId="Footer">
    <w:name w:val="footer"/>
    <w:basedOn w:val="Normal"/>
    <w:link w:val="FooterChar"/>
    <w:uiPriority w:val="99"/>
    <w:unhideWhenUsed/>
    <w:rsid w:val="0020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66"/>
  </w:style>
  <w:style w:type="character" w:styleId="FollowedHyperlink">
    <w:name w:val="FollowedHyperlink"/>
    <w:basedOn w:val="DefaultParagraphFont"/>
    <w:uiPriority w:val="99"/>
    <w:semiHidden/>
    <w:unhideWhenUsed/>
    <w:rsid w:val="00345C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5C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12C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95A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95A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hpri.org/wp-content/uploads/2024/01/Request-for-Claim-Review-New-Terminolog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pri.org/wp-content/uploads/2024/01/Request-for-Claim-Review-New-Terminology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pri.org/wp-content/uploads/2024/01/Request-for-Claim-Review-New-Terminolog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hpri.org/wp-content/uploads/2024/01/Request-for-Claim-Review-New-Terminolog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pri.org/provider-manual/" TargetMode="External"/><Relationship Id="rId14" Type="http://schemas.openxmlformats.org/officeDocument/2006/relationships/hyperlink" Target="https://www.nhpri.org/wp-content/uploads/2024/01/Request-for-Claim-Review-New-Terminolog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7295-DEFE-41BA-A011-6DDA005A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NHPRI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Zanfini Parker</dc:creator>
  <cp:keywords/>
  <dc:description/>
  <cp:lastModifiedBy>Patrick Lowney</cp:lastModifiedBy>
  <cp:revision>5</cp:revision>
  <cp:lastPrinted>2023-10-25T19:55:00Z</cp:lastPrinted>
  <dcterms:created xsi:type="dcterms:W3CDTF">2024-02-28T19:03:00Z</dcterms:created>
  <dcterms:modified xsi:type="dcterms:W3CDTF">2024-03-03T15:55:00Z</dcterms:modified>
</cp:coreProperties>
</file>