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E4268" w14:textId="77777777" w:rsidR="00106558" w:rsidRDefault="00894314">
      <w:r>
        <w:rPr>
          <w:noProof/>
        </w:rPr>
        <w:drawing>
          <wp:anchor distT="0" distB="0" distL="114300" distR="114300" simplePos="0" relativeHeight="251658240" behindDoc="0" locked="0" layoutInCell="1" allowOverlap="1" wp14:anchorId="44D80CD6" wp14:editId="2F715093">
            <wp:simplePos x="0" y="0"/>
            <wp:positionH relativeFrom="margin">
              <wp:align>left</wp:align>
            </wp:positionH>
            <wp:positionV relativeFrom="paragraph">
              <wp:posOffset>-225453</wp:posOffset>
            </wp:positionV>
            <wp:extent cx="2185591" cy="66791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PRI-Logo-WE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5591" cy="66791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292CE149" wp14:editId="39CB64BE">
                <wp:simplePos x="0" y="0"/>
                <wp:positionH relativeFrom="column">
                  <wp:posOffset>2790549</wp:posOffset>
                </wp:positionH>
                <wp:positionV relativeFrom="paragraph">
                  <wp:posOffset>-41026</wp:posOffset>
                </wp:positionV>
                <wp:extent cx="4121150" cy="400050"/>
                <wp:effectExtent l="0" t="0" r="0" b="0"/>
                <wp:wrapNone/>
                <wp:docPr id="3" name="Text Box 3"/>
                <wp:cNvGraphicFramePr/>
                <a:graphic xmlns:a="http://schemas.openxmlformats.org/drawingml/2006/main">
                  <a:graphicData uri="http://schemas.microsoft.com/office/word/2010/wordprocessingShape">
                    <wps:wsp>
                      <wps:cNvSpPr txBox="1"/>
                      <wps:spPr>
                        <a:xfrm>
                          <a:off x="0" y="0"/>
                          <a:ext cx="4121150" cy="400050"/>
                        </a:xfrm>
                        <a:prstGeom prst="rect">
                          <a:avLst/>
                        </a:prstGeom>
                        <a:solidFill>
                          <a:schemeClr val="lt1"/>
                        </a:solidFill>
                        <a:ln w="6350">
                          <a:noFill/>
                        </a:ln>
                      </wps:spPr>
                      <wps:txbx>
                        <w:txbxContent>
                          <w:p w14:paraId="3C86189E" w14:textId="77777777" w:rsidR="006F26F4" w:rsidRPr="006F26F4" w:rsidRDefault="006F26F4" w:rsidP="006F26F4">
                            <w:pPr>
                              <w:jc w:val="right"/>
                              <w:rPr>
                                <w:rFonts w:ascii="Cabin" w:hAnsi="Cabin"/>
                                <w:b/>
                                <w:bCs/>
                                <w:color w:val="208F44"/>
                                <w:sz w:val="34"/>
                                <w:szCs w:val="34"/>
                              </w:rPr>
                            </w:pPr>
                            <w:r w:rsidRPr="006F26F4">
                              <w:rPr>
                                <w:rFonts w:ascii="Cabin" w:hAnsi="Cabin"/>
                                <w:b/>
                                <w:bCs/>
                                <w:color w:val="208F44"/>
                                <w:sz w:val="34"/>
                                <w:szCs w:val="34"/>
                              </w:rPr>
                              <w:t>Provider Appeal Process and Timeline</w:t>
                            </w:r>
                          </w:p>
                          <w:p w14:paraId="7F6B3857" w14:textId="77777777" w:rsidR="006F26F4" w:rsidRDefault="006F26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92CE149" id="_x0000_t202" coordsize="21600,21600" o:spt="202" path="m,l,21600r21600,l21600,xe">
                <v:stroke joinstyle="miter"/>
                <v:path gradientshapeok="t" o:connecttype="rect"/>
              </v:shapetype>
              <v:shape id="Text Box 3" o:spid="_x0000_s1026" type="#_x0000_t202" style="position:absolute;margin-left:219.75pt;margin-top:-3.25pt;width:324.5pt;height:3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" fillcolor="white [3201]" stroked="f" strokeweight=".5pt">
                <v:textbox>
                  <w:txbxContent>
                    <w:p w14:paraId="3C86189E" w14:textId="77777777" w:rsidR="006F26F4" w:rsidRPr="006F26F4" w:rsidRDefault="006F26F4" w:rsidP="006F26F4">
                      <w:pPr>
                        <w:jc w:val="right"/>
                        <w:rPr>
                          <w:rFonts w:ascii="Cabin" w:hAnsi="Cabin"/>
                          <w:b/>
                          <w:bCs/>
                          <w:color w:val="208F44"/>
                          <w:sz w:val="34"/>
                          <w:szCs w:val="34"/>
                        </w:rPr>
                      </w:pPr>
                      <w:r w:rsidRPr="006F26F4">
                        <w:rPr>
                          <w:rFonts w:ascii="Cabin" w:hAnsi="Cabin"/>
                          <w:b/>
                          <w:bCs/>
                          <w:color w:val="208F44"/>
                          <w:sz w:val="34"/>
                          <w:szCs w:val="34"/>
                        </w:rPr>
                        <w:t>Provider Appeal Process and Timeline</w:t>
                      </w:r>
                    </w:p>
                    <w:p w14:paraId="7F6B3857" w14:textId="77777777" w:rsidR="006F26F4" w:rsidRDefault="006F26F4"/>
                  </w:txbxContent>
                </v:textbox>
              </v:shape>
            </w:pict>
          </mc:Fallback>
        </mc:AlternateContent>
      </w:r>
    </w:p>
    <w:p w14:paraId="3CD6522B" w14:textId="77777777" w:rsidR="000A091A" w:rsidRDefault="000A091A"/>
    <w:p w14:paraId="051B12EB" w14:textId="77777777" w:rsidR="000A091A" w:rsidRDefault="00894314" w:rsidP="000A091A">
      <w:pPr>
        <w:jc w:val="center"/>
      </w:pPr>
      <w:r>
        <w:rPr>
          <w:rFonts w:ascii="Cabin" w:hAnsi="Cabin"/>
          <w:b/>
          <w:bCs/>
          <w:noProof/>
          <w:color w:val="208F44"/>
          <w:sz w:val="32"/>
          <w:szCs w:val="40"/>
        </w:rPr>
        <mc:AlternateContent>
          <mc:Choice Requires="wps">
            <w:drawing>
              <wp:anchor distT="0" distB="0" distL="114300" distR="114300" simplePos="0" relativeHeight="251659264" behindDoc="0" locked="0" layoutInCell="1" allowOverlap="1" wp14:anchorId="4AE4A1D8" wp14:editId="54599DD8">
                <wp:simplePos x="0" y="0"/>
                <wp:positionH relativeFrom="margin">
                  <wp:posOffset>-18415</wp:posOffset>
                </wp:positionH>
                <wp:positionV relativeFrom="paragraph">
                  <wp:posOffset>127831</wp:posOffset>
                </wp:positionV>
                <wp:extent cx="6820784" cy="858741"/>
                <wp:effectExtent l="0" t="0" r="0" b="0"/>
                <wp:wrapNone/>
                <wp:docPr id="2" name="Text Box 2"/>
                <wp:cNvGraphicFramePr/>
                <a:graphic xmlns:a="http://schemas.openxmlformats.org/drawingml/2006/main">
                  <a:graphicData uri="http://schemas.microsoft.com/office/word/2010/wordprocessingShape">
                    <wps:wsp>
                      <wps:cNvSpPr txBox="1"/>
                      <wps:spPr>
                        <a:xfrm>
                          <a:off x="0" y="0"/>
                          <a:ext cx="6820784" cy="858741"/>
                        </a:xfrm>
                        <a:prstGeom prst="rect">
                          <a:avLst/>
                        </a:prstGeom>
                        <a:solidFill>
                          <a:schemeClr val="lt1"/>
                        </a:solidFill>
                        <a:ln w="6350">
                          <a:noFill/>
                        </a:ln>
                      </wps:spPr>
                      <wps:txbx>
                        <w:txbxContent>
                          <w:p w14:paraId="4CEE2EFA" w14:textId="29B309ED" w:rsidR="00FC240B" w:rsidRPr="00A04A21" w:rsidRDefault="00FC240B" w:rsidP="00A04A21">
                            <w:pPr>
                              <w:jc w:val="both"/>
                              <w:rPr>
                                <w:rFonts w:ascii="Cabin" w:hAnsi="Cabin"/>
                                <w:color w:val="000000" w:themeColor="text1"/>
                                <w:sz w:val="20"/>
                              </w:rPr>
                            </w:pPr>
                            <w:r w:rsidRPr="00A04A21">
                              <w:rPr>
                                <w:rFonts w:ascii="Cabin" w:hAnsi="Cabin"/>
                                <w:sz w:val="20"/>
                              </w:rPr>
                              <w:t xml:space="preserve">Neighborhood Health Plan of Rhode Island (Neighborhood) </w:t>
                            </w:r>
                            <w:r w:rsidR="00250782" w:rsidRPr="00A04A21">
                              <w:rPr>
                                <w:rFonts w:ascii="Cabin" w:hAnsi="Cabin"/>
                                <w:sz w:val="20"/>
                              </w:rPr>
                              <w:t xml:space="preserve">has a </w:t>
                            </w:r>
                            <w:r w:rsidRPr="00A04A21">
                              <w:rPr>
                                <w:rFonts w:ascii="Cabin" w:hAnsi="Cabin"/>
                                <w:sz w:val="20"/>
                              </w:rPr>
                              <w:t xml:space="preserve">comprehensive </w:t>
                            </w:r>
                            <w:r w:rsidR="00250782" w:rsidRPr="00A04A21">
                              <w:rPr>
                                <w:rFonts w:ascii="Cabin" w:hAnsi="Cabin"/>
                                <w:sz w:val="20"/>
                              </w:rPr>
                              <w:t xml:space="preserve">process to </w:t>
                            </w:r>
                            <w:r w:rsidR="007A53A2">
                              <w:rPr>
                                <w:rFonts w:ascii="Cabin" w:hAnsi="Cabin"/>
                                <w:sz w:val="20"/>
                              </w:rPr>
                              <w:t xml:space="preserve">review and </w:t>
                            </w:r>
                            <w:r w:rsidR="008A73C6" w:rsidRPr="00A04A21">
                              <w:rPr>
                                <w:rFonts w:ascii="Cabin" w:hAnsi="Cabin"/>
                                <w:sz w:val="20"/>
                              </w:rPr>
                              <w:t>respond to</w:t>
                            </w:r>
                            <w:r w:rsidR="00250782" w:rsidRPr="00A04A21">
                              <w:rPr>
                                <w:rFonts w:ascii="Cabin" w:hAnsi="Cabin"/>
                                <w:sz w:val="20"/>
                              </w:rPr>
                              <w:t xml:space="preserve"> </w:t>
                            </w:r>
                            <w:r w:rsidR="007A53A2">
                              <w:rPr>
                                <w:rFonts w:ascii="Cabin" w:hAnsi="Cabin"/>
                                <w:sz w:val="20"/>
                              </w:rPr>
                              <w:t>provider appeals</w:t>
                            </w:r>
                            <w:r w:rsidRPr="00A04A21">
                              <w:rPr>
                                <w:rFonts w:ascii="Cabin" w:hAnsi="Cabin"/>
                                <w:sz w:val="20"/>
                              </w:rPr>
                              <w:t xml:space="preserve">. </w:t>
                            </w:r>
                            <w:r w:rsidR="007A53A2">
                              <w:rPr>
                                <w:rFonts w:ascii="Cabin" w:hAnsi="Cabin"/>
                                <w:sz w:val="20"/>
                              </w:rPr>
                              <w:t>The table below shows the levels of appeal available for each Neighborhood line of business</w:t>
                            </w:r>
                            <w:proofErr w:type="gramStart"/>
                            <w:r w:rsidR="007A53A2">
                              <w:rPr>
                                <w:rFonts w:ascii="Cabin" w:hAnsi="Cabin"/>
                                <w:sz w:val="20"/>
                              </w:rPr>
                              <w:t xml:space="preserve">.  </w:t>
                            </w:r>
                            <w:proofErr w:type="gramEnd"/>
                            <w:r w:rsidR="008A73C6" w:rsidRPr="00A04A21">
                              <w:rPr>
                                <w:rFonts w:ascii="Cabin" w:hAnsi="Cabin"/>
                                <w:sz w:val="20"/>
                              </w:rPr>
                              <w:t xml:space="preserve">Providers must complete </w:t>
                            </w:r>
                            <w:r w:rsidR="00A04A21" w:rsidRPr="00A04A21">
                              <w:rPr>
                                <w:rFonts w:ascii="Cabin" w:hAnsi="Cabin"/>
                                <w:sz w:val="20"/>
                              </w:rPr>
                              <w:t>a</w:t>
                            </w:r>
                            <w:r w:rsidR="008A73C6" w:rsidRPr="00A04A21">
                              <w:rPr>
                                <w:rFonts w:ascii="Cabin" w:hAnsi="Cabin"/>
                                <w:sz w:val="20"/>
                              </w:rPr>
                              <w:t xml:space="preserve"> </w:t>
                            </w:r>
                            <w:hyperlink r:id="rId9" w:history="1">
                              <w:r w:rsidR="008A73C6" w:rsidRPr="0074543A">
                                <w:rPr>
                                  <w:rStyle w:val="Hyperlink"/>
                                  <w:rFonts w:ascii="Cabin" w:hAnsi="Cabin"/>
                                  <w:b/>
                                  <w:color w:val="208F44"/>
                                  <w:sz w:val="20"/>
                                </w:rPr>
                                <w:t>Provider Appeal Form</w:t>
                              </w:r>
                            </w:hyperlink>
                            <w:r w:rsidR="008A73C6" w:rsidRPr="00A04A21">
                              <w:rPr>
                                <w:rFonts w:ascii="Cabin" w:hAnsi="Cabin"/>
                                <w:color w:val="208F44"/>
                                <w:sz w:val="20"/>
                              </w:rPr>
                              <w:t xml:space="preserve"> </w:t>
                            </w:r>
                            <w:r w:rsidR="008A73C6" w:rsidRPr="00A04A21">
                              <w:rPr>
                                <w:rFonts w:ascii="Cabin" w:hAnsi="Cabin"/>
                                <w:color w:val="000000" w:themeColor="text1"/>
                                <w:sz w:val="20"/>
                              </w:rPr>
                              <w:t xml:space="preserve">and </w:t>
                            </w:r>
                            <w:r w:rsidR="007A53A2">
                              <w:rPr>
                                <w:rFonts w:ascii="Cabin" w:hAnsi="Cabin"/>
                                <w:color w:val="000000" w:themeColor="text1"/>
                                <w:sz w:val="20"/>
                              </w:rPr>
                              <w:t>return it</w:t>
                            </w:r>
                            <w:r w:rsidR="008A73C6" w:rsidRPr="00A04A21">
                              <w:rPr>
                                <w:rFonts w:ascii="Cabin" w:hAnsi="Cabin"/>
                                <w:color w:val="000000" w:themeColor="text1"/>
                                <w:sz w:val="20"/>
                              </w:rPr>
                              <w:t xml:space="preserve"> </w:t>
                            </w:r>
                            <w:r w:rsidR="00A04A21" w:rsidRPr="00A04A21">
                              <w:rPr>
                                <w:rFonts w:ascii="Cabin" w:hAnsi="Cabin"/>
                                <w:color w:val="000000" w:themeColor="text1"/>
                                <w:sz w:val="20"/>
                              </w:rPr>
                              <w:t>to Neighborhood</w:t>
                            </w:r>
                            <w:r w:rsidR="007A53A2">
                              <w:rPr>
                                <w:rFonts w:ascii="Cabin" w:hAnsi="Cabin"/>
                                <w:color w:val="000000" w:themeColor="text1"/>
                                <w:sz w:val="20"/>
                              </w:rPr>
                              <w:t>’s Grievance and Appeals Unit (GAU),</w:t>
                            </w:r>
                            <w:r w:rsidR="00A04A21" w:rsidRPr="00A04A21">
                              <w:rPr>
                                <w:rFonts w:ascii="Cabin" w:hAnsi="Cabin"/>
                                <w:color w:val="000000" w:themeColor="text1"/>
                                <w:sz w:val="20"/>
                              </w:rPr>
                              <w:t xml:space="preserve"> according to the </w:t>
                            </w:r>
                            <w:r w:rsidR="007A53A2">
                              <w:rPr>
                                <w:rFonts w:ascii="Cabin" w:hAnsi="Cabin"/>
                                <w:color w:val="000000" w:themeColor="text1"/>
                                <w:sz w:val="20"/>
                              </w:rPr>
                              <w:t xml:space="preserve">stated </w:t>
                            </w:r>
                            <w:r w:rsidR="00A04A21" w:rsidRPr="00A04A21">
                              <w:rPr>
                                <w:rFonts w:ascii="Cabin" w:hAnsi="Cabin"/>
                                <w:color w:val="000000" w:themeColor="text1"/>
                                <w:sz w:val="20"/>
                              </w:rPr>
                              <w:t>timeframes.</w:t>
                            </w:r>
                            <w:r w:rsidR="007A53A2">
                              <w:rPr>
                                <w:rFonts w:ascii="Cabin" w:hAnsi="Cabin"/>
                                <w:color w:val="000000" w:themeColor="text1"/>
                                <w:sz w:val="20"/>
                              </w:rPr>
                              <w:t xml:space="preserve">  For more information, please refer to the </w:t>
                            </w:r>
                            <w:hyperlink r:id="rId10" w:history="1">
                              <w:r w:rsidR="007A53A2" w:rsidRPr="0074543A">
                                <w:rPr>
                                  <w:rStyle w:val="Hyperlink"/>
                                  <w:rFonts w:ascii="Cabin" w:hAnsi="Cabin"/>
                                  <w:b/>
                                  <w:color w:val="208F44"/>
                                  <w:sz w:val="20"/>
                                </w:rPr>
                                <w:t>Neighborhood Provider Manual</w:t>
                              </w:r>
                            </w:hyperlink>
                            <w:proofErr w:type="gramStart"/>
                            <w:r w:rsidR="007A53A2">
                              <w:rPr>
                                <w:rFonts w:ascii="Cabin" w:hAnsi="Cabin"/>
                                <w:color w:val="000000" w:themeColor="text1"/>
                                <w:sz w:val="20"/>
                              </w:rPr>
                              <w:t xml:space="preserve">. </w:t>
                            </w:r>
                            <w:r w:rsidR="00A04A21" w:rsidRPr="00A04A21">
                              <w:rPr>
                                <w:rFonts w:ascii="Cabin" w:hAnsi="Cabin"/>
                                <w:color w:val="000000" w:themeColor="text1"/>
                                <w:sz w:val="20"/>
                              </w:rPr>
                              <w:t xml:space="preserve"> </w:t>
                            </w:r>
                            <w:proofErr w:type="gramEnd"/>
                            <w:r w:rsidR="00A04A21" w:rsidRPr="00A04A21">
                              <w:rPr>
                                <w:rFonts w:ascii="Cabin" w:hAnsi="Cabin"/>
                                <w:color w:val="000000" w:themeColor="text1"/>
                                <w:sz w:val="20"/>
                              </w:rPr>
                              <w:t xml:space="preserve">  </w:t>
                            </w:r>
                          </w:p>
                          <w:p w14:paraId="688D0CE0" w14:textId="77777777" w:rsidR="00FC240B" w:rsidRDefault="00FC240B"/>
                          <w:p w14:paraId="0633E856" w14:textId="77777777" w:rsidR="006A49E1" w:rsidRPr="006A49E1" w:rsidRDefault="006A49E1">
                            <w:pPr>
                              <w:rPr>
                                <w:rFonts w:ascii="Cabin" w:hAnsi="Cabin"/>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4A1D8" id="Text Box 2" o:spid="_x0000_s1027" type="#_x0000_t202" style="position:absolute;left:0;text-align:left;margin-left:-1.45pt;margin-top:10.05pt;width:537.05pt;height:67.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" fillcolor="white [3201]" stroked="f" strokeweight=".5pt">
                <v:textbox>
                  <w:txbxContent>
                    <w:p w14:paraId="4CEE2EFA" w14:textId="29B309ED" w:rsidR="00FC240B" w:rsidRPr="00A04A21" w:rsidRDefault="00FC240B" w:rsidP="00A04A21">
                      <w:pPr>
                        <w:jc w:val="both"/>
                        <w:rPr>
                          <w:rFonts w:ascii="Cabin" w:hAnsi="Cabin"/>
                          <w:color w:val="000000" w:themeColor="text1"/>
                          <w:sz w:val="20"/>
                        </w:rPr>
                      </w:pPr>
                      <w:r w:rsidRPr="00A04A21">
                        <w:rPr>
                          <w:rFonts w:ascii="Cabin" w:hAnsi="Cabin"/>
                          <w:sz w:val="20"/>
                        </w:rPr>
                        <w:t xml:space="preserve">Neighborhood Health Plan of Rhode Island (Neighborhood) </w:t>
                      </w:r>
                      <w:r w:rsidR="00250782" w:rsidRPr="00A04A21">
                        <w:rPr>
                          <w:rFonts w:ascii="Cabin" w:hAnsi="Cabin"/>
                          <w:sz w:val="20"/>
                        </w:rPr>
                        <w:t xml:space="preserve">has a </w:t>
                      </w:r>
                      <w:r w:rsidRPr="00A04A21">
                        <w:rPr>
                          <w:rFonts w:ascii="Cabin" w:hAnsi="Cabin"/>
                          <w:sz w:val="20"/>
                        </w:rPr>
                        <w:t xml:space="preserve">comprehensive </w:t>
                      </w:r>
                      <w:r w:rsidR="00250782" w:rsidRPr="00A04A21">
                        <w:rPr>
                          <w:rFonts w:ascii="Cabin" w:hAnsi="Cabin"/>
                          <w:sz w:val="20"/>
                        </w:rPr>
                        <w:t xml:space="preserve">process to </w:t>
                      </w:r>
                      <w:r w:rsidR="007A53A2">
                        <w:rPr>
                          <w:rFonts w:ascii="Cabin" w:hAnsi="Cabin"/>
                          <w:sz w:val="20"/>
                        </w:rPr>
                        <w:t xml:space="preserve">review and </w:t>
                      </w:r>
                      <w:r w:rsidR="008A73C6" w:rsidRPr="00A04A21">
                        <w:rPr>
                          <w:rFonts w:ascii="Cabin" w:hAnsi="Cabin"/>
                          <w:sz w:val="20"/>
                        </w:rPr>
                        <w:t>respond to</w:t>
                      </w:r>
                      <w:r w:rsidR="00250782" w:rsidRPr="00A04A21">
                        <w:rPr>
                          <w:rFonts w:ascii="Cabin" w:hAnsi="Cabin"/>
                          <w:sz w:val="20"/>
                        </w:rPr>
                        <w:t xml:space="preserve"> </w:t>
                      </w:r>
                      <w:r w:rsidR="007A53A2">
                        <w:rPr>
                          <w:rFonts w:ascii="Cabin" w:hAnsi="Cabin"/>
                          <w:sz w:val="20"/>
                        </w:rPr>
                        <w:t>provider appeals</w:t>
                      </w:r>
                      <w:r w:rsidRPr="00A04A21">
                        <w:rPr>
                          <w:rFonts w:ascii="Cabin" w:hAnsi="Cabin"/>
                          <w:sz w:val="20"/>
                        </w:rPr>
                        <w:t xml:space="preserve">. </w:t>
                      </w:r>
                      <w:r w:rsidR="007A53A2">
                        <w:rPr>
                          <w:rFonts w:ascii="Cabin" w:hAnsi="Cabin"/>
                          <w:sz w:val="20"/>
                        </w:rPr>
                        <w:t>The table below shows the levels of appeal available for each Neighborhood line of business</w:t>
                      </w:r>
                      <w:proofErr w:type="gramStart"/>
                      <w:r w:rsidR="007A53A2">
                        <w:rPr>
                          <w:rFonts w:ascii="Cabin" w:hAnsi="Cabin"/>
                          <w:sz w:val="20"/>
                        </w:rPr>
                        <w:t xml:space="preserve">.  </w:t>
                      </w:r>
                      <w:proofErr w:type="gramEnd"/>
                      <w:r w:rsidR="008A73C6" w:rsidRPr="00A04A21">
                        <w:rPr>
                          <w:rFonts w:ascii="Cabin" w:hAnsi="Cabin"/>
                          <w:sz w:val="20"/>
                        </w:rPr>
                        <w:t xml:space="preserve">Providers must complete </w:t>
                      </w:r>
                      <w:r w:rsidR="00A04A21" w:rsidRPr="00A04A21">
                        <w:rPr>
                          <w:rFonts w:ascii="Cabin" w:hAnsi="Cabin"/>
                          <w:sz w:val="20"/>
                        </w:rPr>
                        <w:t>a</w:t>
                      </w:r>
                      <w:r w:rsidR="008A73C6" w:rsidRPr="00A04A21">
                        <w:rPr>
                          <w:rFonts w:ascii="Cabin" w:hAnsi="Cabin"/>
                          <w:sz w:val="20"/>
                        </w:rPr>
                        <w:t xml:space="preserve"> </w:t>
                      </w:r>
                      <w:hyperlink r:id="rId11" w:history="1">
                        <w:r w:rsidR="008A73C6" w:rsidRPr="0074543A">
                          <w:rPr>
                            <w:rStyle w:val="Hyperlink"/>
                            <w:rFonts w:ascii="Cabin" w:hAnsi="Cabin"/>
                            <w:b/>
                            <w:color w:val="208F44"/>
                            <w:sz w:val="20"/>
                          </w:rPr>
                          <w:t>Provider Appeal Form</w:t>
                        </w:r>
                      </w:hyperlink>
                      <w:r w:rsidR="008A73C6" w:rsidRPr="00A04A21">
                        <w:rPr>
                          <w:rFonts w:ascii="Cabin" w:hAnsi="Cabin"/>
                          <w:color w:val="208F44"/>
                          <w:sz w:val="20"/>
                        </w:rPr>
                        <w:t xml:space="preserve"> </w:t>
                      </w:r>
                      <w:r w:rsidR="008A73C6" w:rsidRPr="00A04A21">
                        <w:rPr>
                          <w:rFonts w:ascii="Cabin" w:hAnsi="Cabin"/>
                          <w:color w:val="000000" w:themeColor="text1"/>
                          <w:sz w:val="20"/>
                        </w:rPr>
                        <w:t xml:space="preserve">and </w:t>
                      </w:r>
                      <w:r w:rsidR="007A53A2">
                        <w:rPr>
                          <w:rFonts w:ascii="Cabin" w:hAnsi="Cabin"/>
                          <w:color w:val="000000" w:themeColor="text1"/>
                          <w:sz w:val="20"/>
                        </w:rPr>
                        <w:t>return it</w:t>
                      </w:r>
                      <w:r w:rsidR="008A73C6" w:rsidRPr="00A04A21">
                        <w:rPr>
                          <w:rFonts w:ascii="Cabin" w:hAnsi="Cabin"/>
                          <w:color w:val="000000" w:themeColor="text1"/>
                          <w:sz w:val="20"/>
                        </w:rPr>
                        <w:t xml:space="preserve"> </w:t>
                      </w:r>
                      <w:r w:rsidR="00A04A21" w:rsidRPr="00A04A21">
                        <w:rPr>
                          <w:rFonts w:ascii="Cabin" w:hAnsi="Cabin"/>
                          <w:color w:val="000000" w:themeColor="text1"/>
                          <w:sz w:val="20"/>
                        </w:rPr>
                        <w:t>to Neighborhood</w:t>
                      </w:r>
                      <w:r w:rsidR="007A53A2">
                        <w:rPr>
                          <w:rFonts w:ascii="Cabin" w:hAnsi="Cabin"/>
                          <w:color w:val="000000" w:themeColor="text1"/>
                          <w:sz w:val="20"/>
                        </w:rPr>
                        <w:t>’s Grievance and Appeals Unit (GAU),</w:t>
                      </w:r>
                      <w:r w:rsidR="00A04A21" w:rsidRPr="00A04A21">
                        <w:rPr>
                          <w:rFonts w:ascii="Cabin" w:hAnsi="Cabin"/>
                          <w:color w:val="000000" w:themeColor="text1"/>
                          <w:sz w:val="20"/>
                        </w:rPr>
                        <w:t xml:space="preserve"> according to the </w:t>
                      </w:r>
                      <w:r w:rsidR="007A53A2">
                        <w:rPr>
                          <w:rFonts w:ascii="Cabin" w:hAnsi="Cabin"/>
                          <w:color w:val="000000" w:themeColor="text1"/>
                          <w:sz w:val="20"/>
                        </w:rPr>
                        <w:t xml:space="preserve">stated </w:t>
                      </w:r>
                      <w:r w:rsidR="00A04A21" w:rsidRPr="00A04A21">
                        <w:rPr>
                          <w:rFonts w:ascii="Cabin" w:hAnsi="Cabin"/>
                          <w:color w:val="000000" w:themeColor="text1"/>
                          <w:sz w:val="20"/>
                        </w:rPr>
                        <w:t>timeframes.</w:t>
                      </w:r>
                      <w:r w:rsidR="007A53A2">
                        <w:rPr>
                          <w:rFonts w:ascii="Cabin" w:hAnsi="Cabin"/>
                          <w:color w:val="000000" w:themeColor="text1"/>
                          <w:sz w:val="20"/>
                        </w:rPr>
                        <w:t xml:space="preserve">  For more information, please refer to the </w:t>
                      </w:r>
                      <w:hyperlink r:id="rId12" w:history="1">
                        <w:r w:rsidR="007A53A2" w:rsidRPr="0074543A">
                          <w:rPr>
                            <w:rStyle w:val="Hyperlink"/>
                            <w:rFonts w:ascii="Cabin" w:hAnsi="Cabin"/>
                            <w:b/>
                            <w:color w:val="208F44"/>
                            <w:sz w:val="20"/>
                          </w:rPr>
                          <w:t>Neighborhood Provider Manual</w:t>
                        </w:r>
                      </w:hyperlink>
                      <w:proofErr w:type="gramStart"/>
                      <w:r w:rsidR="007A53A2">
                        <w:rPr>
                          <w:rFonts w:ascii="Cabin" w:hAnsi="Cabin"/>
                          <w:color w:val="000000" w:themeColor="text1"/>
                          <w:sz w:val="20"/>
                        </w:rPr>
                        <w:t xml:space="preserve">. </w:t>
                      </w:r>
                      <w:r w:rsidR="00A04A21" w:rsidRPr="00A04A21">
                        <w:rPr>
                          <w:rFonts w:ascii="Cabin" w:hAnsi="Cabin"/>
                          <w:color w:val="000000" w:themeColor="text1"/>
                          <w:sz w:val="20"/>
                        </w:rPr>
                        <w:t xml:space="preserve"> </w:t>
                      </w:r>
                      <w:proofErr w:type="gramEnd"/>
                      <w:r w:rsidR="00A04A21" w:rsidRPr="00A04A21">
                        <w:rPr>
                          <w:rFonts w:ascii="Cabin" w:hAnsi="Cabin"/>
                          <w:color w:val="000000" w:themeColor="text1"/>
                          <w:sz w:val="20"/>
                        </w:rPr>
                        <w:t xml:space="preserve">  </w:t>
                      </w:r>
                    </w:p>
                    <w:p w14:paraId="688D0CE0" w14:textId="77777777" w:rsidR="00FC240B" w:rsidRDefault="00FC240B"/>
                    <w:p w14:paraId="0633E856" w14:textId="77777777" w:rsidR="006A49E1" w:rsidRPr="006A49E1" w:rsidRDefault="006A49E1">
                      <w:pPr>
                        <w:rPr>
                          <w:rFonts w:ascii="Cabin" w:hAnsi="Cabin"/>
                          <w:sz w:val="20"/>
                        </w:rPr>
                      </w:pPr>
                    </w:p>
                  </w:txbxContent>
                </v:textbox>
                <w10:wrap anchorx="margin"/>
              </v:shape>
            </w:pict>
          </mc:Fallback>
        </mc:AlternateContent>
      </w:r>
    </w:p>
    <w:p w14:paraId="7AB165EF" w14:textId="77777777" w:rsidR="00A55AB4" w:rsidRDefault="00A55AB4"/>
    <w:p w14:paraId="02A0743E" w14:textId="77777777" w:rsidR="00A55AB4" w:rsidRDefault="00A55AB4"/>
    <w:p w14:paraId="60983016" w14:textId="77777777" w:rsidR="00A55AB4" w:rsidRDefault="00A55AB4"/>
    <w:p w14:paraId="4979935C" w14:textId="77777777" w:rsidR="00A04A21" w:rsidRPr="00BC0D7C" w:rsidRDefault="00A04A21" w:rsidP="00A55AB4">
      <w:pPr>
        <w:rPr>
          <w:rFonts w:ascii="Cabin" w:hAnsi="Cabin"/>
          <w:b/>
          <w:bCs/>
          <w:color w:val="208F44"/>
          <w:sz w:val="44"/>
          <w:szCs w:val="40"/>
        </w:rPr>
      </w:pPr>
    </w:p>
    <w:tbl>
      <w:tblPr>
        <w:tblpPr w:leftFromText="180" w:rightFromText="180" w:vertAnchor="text" w:horzAnchor="margin" w:tblpX="-20" w:tblpY="74"/>
        <w:tblW w:w="10790" w:type="dxa"/>
        <w:tblLayout w:type="fixed"/>
        <w:tblCellMar>
          <w:left w:w="0" w:type="dxa"/>
          <w:right w:w="0" w:type="dxa"/>
        </w:tblCellMar>
        <w:tblLook w:val="04A0" w:firstRow="1" w:lastRow="0" w:firstColumn="1" w:lastColumn="0" w:noHBand="0" w:noVBand="1"/>
      </w:tblPr>
      <w:tblGrid>
        <w:gridCol w:w="2060"/>
        <w:gridCol w:w="1980"/>
        <w:gridCol w:w="2160"/>
        <w:gridCol w:w="4590"/>
      </w:tblGrid>
      <w:tr w:rsidR="00A55AB4" w:rsidRPr="00A55AB4" w14:paraId="3EC8BFAA" w14:textId="77777777" w:rsidTr="008819EE">
        <w:trPr>
          <w:trHeight w:val="87"/>
        </w:trPr>
        <w:tc>
          <w:tcPr>
            <w:tcW w:w="2060" w:type="dxa"/>
            <w:tcBorders>
              <w:top w:val="single" w:sz="8" w:space="0" w:color="auto"/>
              <w:left w:val="single" w:sz="8" w:space="0" w:color="auto"/>
              <w:bottom w:val="single" w:sz="8" w:space="0" w:color="auto"/>
              <w:right w:val="single" w:sz="8" w:space="0" w:color="auto"/>
            </w:tcBorders>
            <w:shd w:val="clear" w:color="auto" w:fill="208F44"/>
            <w:tcMar>
              <w:top w:w="0" w:type="dxa"/>
              <w:left w:w="108" w:type="dxa"/>
              <w:bottom w:w="0" w:type="dxa"/>
              <w:right w:w="108" w:type="dxa"/>
            </w:tcMar>
            <w:hideMark/>
          </w:tcPr>
          <w:p w14:paraId="58171952" w14:textId="77777777" w:rsidR="00A55AB4" w:rsidRPr="00C0599A" w:rsidRDefault="00A55AB4" w:rsidP="000C20DB">
            <w:pPr>
              <w:spacing w:line="276" w:lineRule="auto"/>
              <w:rPr>
                <w:rFonts w:ascii="Garamond" w:hAnsi="Garamond"/>
                <w:b/>
                <w:bCs/>
                <w:color w:val="FFFFFF" w:themeColor="background1"/>
                <w:szCs w:val="20"/>
              </w:rPr>
            </w:pPr>
            <w:r w:rsidRPr="00C0599A">
              <w:rPr>
                <w:rFonts w:ascii="Garamond" w:hAnsi="Garamond"/>
                <w:b/>
                <w:color w:val="FFFFFF" w:themeColor="background1"/>
                <w:szCs w:val="20"/>
              </w:rPr>
              <w:t>Line of Business</w:t>
            </w:r>
          </w:p>
        </w:tc>
        <w:tc>
          <w:tcPr>
            <w:tcW w:w="4140" w:type="dxa"/>
            <w:gridSpan w:val="2"/>
            <w:tcBorders>
              <w:top w:val="single" w:sz="8" w:space="0" w:color="auto"/>
              <w:left w:val="nil"/>
              <w:bottom w:val="single" w:sz="8" w:space="0" w:color="auto"/>
              <w:right w:val="single" w:sz="8" w:space="0" w:color="auto"/>
            </w:tcBorders>
            <w:shd w:val="clear" w:color="auto" w:fill="208F44"/>
            <w:tcMar>
              <w:top w:w="0" w:type="dxa"/>
              <w:left w:w="108" w:type="dxa"/>
              <w:bottom w:w="0" w:type="dxa"/>
              <w:right w:w="108" w:type="dxa"/>
            </w:tcMar>
            <w:hideMark/>
          </w:tcPr>
          <w:p w14:paraId="09334405" w14:textId="77777777" w:rsidR="00A55AB4" w:rsidRPr="00C0599A" w:rsidRDefault="00252483" w:rsidP="000C20DB">
            <w:pPr>
              <w:spacing w:line="276" w:lineRule="auto"/>
              <w:rPr>
                <w:rFonts w:ascii="Garamond" w:hAnsi="Garamond"/>
                <w:b/>
                <w:bCs/>
                <w:color w:val="FFFFFF" w:themeColor="background1"/>
                <w:szCs w:val="20"/>
              </w:rPr>
            </w:pPr>
            <w:r>
              <w:rPr>
                <w:rFonts w:ascii="Garamond" w:hAnsi="Garamond"/>
                <w:b/>
                <w:bCs/>
                <w:color w:val="FFFFFF" w:themeColor="background1"/>
                <w:szCs w:val="20"/>
              </w:rPr>
              <w:t xml:space="preserve">Internal </w:t>
            </w:r>
            <w:r w:rsidR="00A55AB4" w:rsidRPr="00C0599A">
              <w:rPr>
                <w:rFonts w:ascii="Garamond" w:hAnsi="Garamond"/>
                <w:b/>
                <w:bCs/>
                <w:color w:val="FFFFFF" w:themeColor="background1"/>
                <w:szCs w:val="20"/>
              </w:rPr>
              <w:t>Appeal</w:t>
            </w:r>
          </w:p>
        </w:tc>
        <w:tc>
          <w:tcPr>
            <w:tcW w:w="4590" w:type="dxa"/>
            <w:tcBorders>
              <w:top w:val="single" w:sz="8" w:space="0" w:color="auto"/>
              <w:left w:val="nil"/>
              <w:bottom w:val="single" w:sz="8" w:space="0" w:color="auto"/>
              <w:right w:val="single" w:sz="8" w:space="0" w:color="auto"/>
            </w:tcBorders>
            <w:shd w:val="clear" w:color="auto" w:fill="208F44"/>
            <w:tcMar>
              <w:top w:w="0" w:type="dxa"/>
              <w:left w:w="108" w:type="dxa"/>
              <w:bottom w:w="0" w:type="dxa"/>
              <w:right w:w="108" w:type="dxa"/>
            </w:tcMar>
            <w:hideMark/>
          </w:tcPr>
          <w:p w14:paraId="0EC53682" w14:textId="77777777" w:rsidR="00A55AB4" w:rsidRPr="00C0599A" w:rsidRDefault="003B63F9" w:rsidP="000C20DB">
            <w:pPr>
              <w:spacing w:line="276" w:lineRule="auto"/>
              <w:rPr>
                <w:rFonts w:ascii="Garamond" w:hAnsi="Garamond"/>
                <w:b/>
                <w:bCs/>
                <w:color w:val="FFFFFF" w:themeColor="background1"/>
                <w:szCs w:val="20"/>
              </w:rPr>
            </w:pPr>
            <w:r>
              <w:rPr>
                <w:rFonts w:ascii="Garamond" w:hAnsi="Garamond"/>
                <w:b/>
                <w:bCs/>
                <w:color w:val="FFFFFF" w:themeColor="background1"/>
                <w:szCs w:val="20"/>
              </w:rPr>
              <w:t xml:space="preserve">Next Level/External </w:t>
            </w:r>
            <w:r w:rsidR="00A55AB4" w:rsidRPr="00C0599A">
              <w:rPr>
                <w:rFonts w:ascii="Garamond" w:hAnsi="Garamond"/>
                <w:b/>
                <w:bCs/>
                <w:color w:val="FFFFFF" w:themeColor="background1"/>
                <w:szCs w:val="20"/>
              </w:rPr>
              <w:t>Appeal</w:t>
            </w:r>
            <w:r>
              <w:rPr>
                <w:rFonts w:ascii="Garamond" w:hAnsi="Garamond"/>
                <w:b/>
                <w:bCs/>
                <w:color w:val="FFFFFF" w:themeColor="background1"/>
                <w:szCs w:val="20"/>
              </w:rPr>
              <w:t>, if a</w:t>
            </w:r>
            <w:r w:rsidR="00A55AB4" w:rsidRPr="00C0599A">
              <w:rPr>
                <w:rFonts w:ascii="Garamond" w:hAnsi="Garamond"/>
                <w:b/>
                <w:bCs/>
                <w:color w:val="FFFFFF" w:themeColor="background1"/>
                <w:szCs w:val="20"/>
              </w:rPr>
              <w:t xml:space="preserve">vailable </w:t>
            </w:r>
          </w:p>
        </w:tc>
      </w:tr>
      <w:tr w:rsidR="00A55AB4" w:rsidRPr="00A55AB4" w14:paraId="146C2DED" w14:textId="77777777" w:rsidTr="008819EE">
        <w:trPr>
          <w:trHeight w:val="64"/>
        </w:trPr>
        <w:tc>
          <w:tcPr>
            <w:tcW w:w="2060" w:type="dxa"/>
            <w:tcBorders>
              <w:top w:val="nil"/>
              <w:left w:val="single" w:sz="8" w:space="0" w:color="auto"/>
              <w:bottom w:val="single" w:sz="8" w:space="0" w:color="auto"/>
              <w:right w:val="single" w:sz="8" w:space="0" w:color="auto"/>
            </w:tcBorders>
            <w:shd w:val="clear" w:color="auto" w:fill="C5E0B3" w:themeFill="accent6" w:themeFillTint="66"/>
            <w:tcMar>
              <w:top w:w="0" w:type="dxa"/>
              <w:left w:w="108" w:type="dxa"/>
              <w:bottom w:w="0" w:type="dxa"/>
              <w:right w:w="108" w:type="dxa"/>
            </w:tcMar>
          </w:tcPr>
          <w:p w14:paraId="366DBD91" w14:textId="77777777" w:rsidR="00A55AB4" w:rsidRPr="00C0599A" w:rsidRDefault="00A55AB4" w:rsidP="000C20DB">
            <w:pPr>
              <w:spacing w:line="276" w:lineRule="auto"/>
              <w:rPr>
                <w:rFonts w:ascii="Garamond" w:hAnsi="Garamond"/>
                <w:b/>
                <w:color w:val="000000" w:themeColor="text1"/>
                <w:szCs w:val="20"/>
              </w:rPr>
            </w:pPr>
            <w:r w:rsidRPr="00C0599A">
              <w:rPr>
                <w:rFonts w:ascii="Garamond" w:hAnsi="Garamond"/>
                <w:b/>
                <w:bCs/>
                <w:color w:val="000000" w:themeColor="text1"/>
                <w:szCs w:val="20"/>
              </w:rPr>
              <w:t>Product</w:t>
            </w:r>
          </w:p>
        </w:tc>
        <w:tc>
          <w:tcPr>
            <w:tcW w:w="1980" w:type="dxa"/>
            <w:tcBorders>
              <w:top w:val="nil"/>
              <w:left w:val="nil"/>
              <w:bottom w:val="single" w:sz="8" w:space="0" w:color="auto"/>
              <w:right w:val="single" w:sz="8" w:space="0" w:color="auto"/>
            </w:tcBorders>
            <w:shd w:val="clear" w:color="auto" w:fill="C5E0B3" w:themeFill="accent6" w:themeFillTint="66"/>
            <w:tcMar>
              <w:top w:w="0" w:type="dxa"/>
              <w:left w:w="108" w:type="dxa"/>
              <w:bottom w:w="0" w:type="dxa"/>
              <w:right w:w="108" w:type="dxa"/>
            </w:tcMar>
            <w:hideMark/>
          </w:tcPr>
          <w:p w14:paraId="2B0E313A" w14:textId="77777777" w:rsidR="00A55AB4" w:rsidRPr="00C0599A" w:rsidRDefault="00A55AB4" w:rsidP="000C20DB">
            <w:pPr>
              <w:spacing w:line="276" w:lineRule="auto"/>
              <w:rPr>
                <w:rFonts w:ascii="Garamond" w:hAnsi="Garamond"/>
                <w:b/>
                <w:bCs/>
                <w:color w:val="000000" w:themeColor="text1"/>
                <w:szCs w:val="20"/>
              </w:rPr>
            </w:pPr>
            <w:r w:rsidRPr="00C0599A">
              <w:rPr>
                <w:rFonts w:ascii="Garamond" w:hAnsi="Garamond"/>
                <w:b/>
                <w:bCs/>
                <w:color w:val="000000" w:themeColor="text1"/>
                <w:szCs w:val="20"/>
              </w:rPr>
              <w:t>Filing</w:t>
            </w:r>
            <w:r w:rsidR="00FC42FE">
              <w:rPr>
                <w:rFonts w:ascii="Garamond" w:hAnsi="Garamond"/>
                <w:b/>
                <w:bCs/>
                <w:color w:val="000000" w:themeColor="text1"/>
                <w:szCs w:val="20"/>
              </w:rPr>
              <w:t xml:space="preserve"> Timeline</w:t>
            </w:r>
          </w:p>
        </w:tc>
        <w:tc>
          <w:tcPr>
            <w:tcW w:w="2160" w:type="dxa"/>
            <w:tcBorders>
              <w:top w:val="nil"/>
              <w:left w:val="nil"/>
              <w:bottom w:val="single" w:sz="8" w:space="0" w:color="auto"/>
              <w:right w:val="single" w:sz="8" w:space="0" w:color="auto"/>
            </w:tcBorders>
            <w:shd w:val="clear" w:color="auto" w:fill="C5E0B3" w:themeFill="accent6" w:themeFillTint="66"/>
            <w:tcMar>
              <w:top w:w="0" w:type="dxa"/>
              <w:left w:w="108" w:type="dxa"/>
              <w:bottom w:w="0" w:type="dxa"/>
              <w:right w:w="108" w:type="dxa"/>
            </w:tcMar>
            <w:hideMark/>
          </w:tcPr>
          <w:p w14:paraId="5A8357D5" w14:textId="77777777" w:rsidR="00A55AB4" w:rsidRPr="00C0599A" w:rsidRDefault="00A55AB4" w:rsidP="000C20DB">
            <w:pPr>
              <w:spacing w:line="276" w:lineRule="auto"/>
              <w:rPr>
                <w:rFonts w:ascii="Garamond" w:hAnsi="Garamond"/>
                <w:b/>
                <w:bCs/>
                <w:color w:val="000000" w:themeColor="text1"/>
                <w:szCs w:val="20"/>
              </w:rPr>
            </w:pPr>
            <w:r w:rsidRPr="00C0599A">
              <w:rPr>
                <w:rFonts w:ascii="Garamond" w:hAnsi="Garamond"/>
                <w:b/>
                <w:bCs/>
                <w:color w:val="000000" w:themeColor="text1"/>
                <w:szCs w:val="20"/>
              </w:rPr>
              <w:t>Decision</w:t>
            </w:r>
          </w:p>
        </w:tc>
        <w:tc>
          <w:tcPr>
            <w:tcW w:w="4590" w:type="dxa"/>
            <w:tcBorders>
              <w:top w:val="nil"/>
              <w:left w:val="nil"/>
              <w:bottom w:val="single" w:sz="8" w:space="0" w:color="auto"/>
              <w:right w:val="single" w:sz="8" w:space="0" w:color="auto"/>
            </w:tcBorders>
            <w:shd w:val="clear" w:color="auto" w:fill="C5E0B3" w:themeFill="accent6" w:themeFillTint="66"/>
            <w:tcMar>
              <w:top w:w="0" w:type="dxa"/>
              <w:left w:w="108" w:type="dxa"/>
              <w:bottom w:w="0" w:type="dxa"/>
              <w:right w:w="108" w:type="dxa"/>
            </w:tcMar>
            <w:hideMark/>
          </w:tcPr>
          <w:p w14:paraId="7BCD7771" w14:textId="77777777" w:rsidR="00A55AB4" w:rsidRPr="00C0599A" w:rsidRDefault="00A55AB4" w:rsidP="000C20DB">
            <w:pPr>
              <w:spacing w:line="276" w:lineRule="auto"/>
              <w:rPr>
                <w:rFonts w:ascii="Garamond" w:hAnsi="Garamond"/>
                <w:b/>
                <w:bCs/>
                <w:color w:val="000000" w:themeColor="text1"/>
                <w:szCs w:val="20"/>
              </w:rPr>
            </w:pPr>
            <w:r w:rsidRPr="00C0599A">
              <w:rPr>
                <w:rFonts w:ascii="Garamond" w:hAnsi="Garamond"/>
                <w:b/>
                <w:bCs/>
                <w:color w:val="000000" w:themeColor="text1"/>
                <w:szCs w:val="20"/>
              </w:rPr>
              <w:t>Filing</w:t>
            </w:r>
            <w:r w:rsidR="00FC42FE">
              <w:rPr>
                <w:rFonts w:ascii="Garamond" w:hAnsi="Garamond"/>
                <w:b/>
                <w:bCs/>
                <w:color w:val="000000" w:themeColor="text1"/>
                <w:szCs w:val="20"/>
              </w:rPr>
              <w:t xml:space="preserve"> Timeline</w:t>
            </w:r>
          </w:p>
        </w:tc>
      </w:tr>
      <w:tr w:rsidR="00A55AB4" w:rsidRPr="00A55AB4" w14:paraId="5B75C029" w14:textId="77777777" w:rsidTr="008819EE">
        <w:trPr>
          <w:trHeight w:val="74"/>
        </w:trPr>
        <w:tc>
          <w:tcPr>
            <w:tcW w:w="2060"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52AAAF3" w14:textId="77777777" w:rsidR="00A55AB4" w:rsidRPr="0074543A" w:rsidRDefault="00C0599A" w:rsidP="000C20DB">
            <w:pPr>
              <w:spacing w:before="40" w:line="264" w:lineRule="auto"/>
              <w:rPr>
                <w:rFonts w:ascii="Garamond" w:hAnsi="Garamond"/>
                <w:b/>
                <w:color w:val="208F44"/>
                <w:sz w:val="21"/>
                <w:szCs w:val="21"/>
              </w:rPr>
            </w:pPr>
            <w:r w:rsidRPr="0074543A">
              <w:rPr>
                <w:rFonts w:ascii="Garamond" w:hAnsi="Garamond"/>
                <w:b/>
                <w:bCs/>
                <w:color w:val="208F44"/>
                <w:sz w:val="21"/>
                <w:szCs w:val="21"/>
              </w:rPr>
              <w:t>Medicaid</w:t>
            </w:r>
          </w:p>
        </w:tc>
        <w:tc>
          <w:tcPr>
            <w:tcW w:w="198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0ECFB8E" w14:textId="77777777" w:rsidR="00A55AB4" w:rsidRPr="000B4CC6" w:rsidRDefault="00A55AB4" w:rsidP="000C20DB">
            <w:pPr>
              <w:spacing w:before="40" w:line="264" w:lineRule="auto"/>
              <w:rPr>
                <w:rFonts w:ascii="Garamond" w:hAnsi="Garamond"/>
                <w:sz w:val="20"/>
                <w:szCs w:val="20"/>
              </w:rPr>
            </w:pPr>
            <w:r w:rsidRPr="000B4CC6">
              <w:rPr>
                <w:rFonts w:ascii="Garamond" w:hAnsi="Garamond"/>
                <w:sz w:val="20"/>
                <w:szCs w:val="20"/>
              </w:rPr>
              <w:t xml:space="preserve">60 Calendar Days from Initial Decision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3E7B30CE" w14:textId="77777777" w:rsidR="00A55AB4" w:rsidRPr="0074543A" w:rsidRDefault="00A55AB4" w:rsidP="000C20DB">
            <w:pPr>
              <w:spacing w:before="40" w:after="40" w:line="264" w:lineRule="auto"/>
              <w:ind w:left="-72" w:right="-144"/>
              <w:rPr>
                <w:rFonts w:ascii="Garamond" w:hAnsi="Garamond"/>
                <w:sz w:val="21"/>
                <w:szCs w:val="21"/>
              </w:rPr>
            </w:pPr>
            <w:r w:rsidRPr="0074543A">
              <w:rPr>
                <w:rFonts w:ascii="Garamond" w:hAnsi="Garamond"/>
                <w:sz w:val="21"/>
                <w:szCs w:val="21"/>
              </w:rPr>
              <w:t>72 Hours for Expedited</w:t>
            </w:r>
          </w:p>
        </w:tc>
        <w:tc>
          <w:tcPr>
            <w:tcW w:w="459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70C2DD9" w14:textId="77777777" w:rsidR="00A55AB4" w:rsidRPr="0021170B" w:rsidRDefault="00A55AB4" w:rsidP="000C20DB">
            <w:pPr>
              <w:pStyle w:val="ListParagraph"/>
              <w:numPr>
                <w:ilvl w:val="0"/>
                <w:numId w:val="1"/>
              </w:numPr>
              <w:spacing w:before="40" w:after="40"/>
              <w:ind w:left="201" w:hanging="187"/>
              <w:rPr>
                <w:rFonts w:ascii="Garamond" w:hAnsi="Garamond"/>
                <w:bCs/>
                <w:sz w:val="20"/>
                <w:szCs w:val="20"/>
              </w:rPr>
            </w:pPr>
            <w:r w:rsidRPr="0021170B">
              <w:rPr>
                <w:rFonts w:ascii="Garamond" w:hAnsi="Garamond"/>
                <w:bCs/>
                <w:sz w:val="20"/>
                <w:szCs w:val="20"/>
              </w:rPr>
              <w:t>Qualified Cases</w:t>
            </w:r>
            <w:r w:rsidR="00FD3598">
              <w:rPr>
                <w:rFonts w:ascii="Garamond" w:hAnsi="Garamond"/>
                <w:bCs/>
                <w:sz w:val="20"/>
                <w:szCs w:val="20"/>
              </w:rPr>
              <w:t>*</w:t>
            </w:r>
            <w:r w:rsidRPr="0021170B">
              <w:rPr>
                <w:rFonts w:ascii="Garamond" w:hAnsi="Garamond"/>
                <w:bCs/>
                <w:sz w:val="20"/>
                <w:szCs w:val="20"/>
              </w:rPr>
              <w:t>: Request External Appeal within four (4) months of Appeal Denial Letter</w:t>
            </w:r>
            <w:r w:rsidR="003B63F9" w:rsidRPr="0021170B">
              <w:rPr>
                <w:rFonts w:ascii="Garamond" w:hAnsi="Garamond"/>
                <w:bCs/>
                <w:sz w:val="20"/>
                <w:szCs w:val="20"/>
              </w:rPr>
              <w:t>;</w:t>
            </w:r>
            <w:r w:rsidRPr="0021170B">
              <w:rPr>
                <w:rFonts w:ascii="Garamond" w:hAnsi="Garamond"/>
                <w:bCs/>
                <w:sz w:val="20"/>
                <w:szCs w:val="20"/>
              </w:rPr>
              <w:t xml:space="preserve"> and/or</w:t>
            </w:r>
          </w:p>
          <w:p w14:paraId="49479D99" w14:textId="77777777" w:rsidR="00A55AB4" w:rsidRPr="0021170B" w:rsidRDefault="00A55AB4" w:rsidP="000C20DB">
            <w:pPr>
              <w:pStyle w:val="ListParagraph"/>
              <w:numPr>
                <w:ilvl w:val="0"/>
                <w:numId w:val="1"/>
              </w:numPr>
              <w:spacing w:before="40" w:after="80"/>
              <w:ind w:left="201" w:hanging="187"/>
              <w:rPr>
                <w:rFonts w:ascii="Garamond" w:hAnsi="Garamond"/>
                <w:bCs/>
                <w:sz w:val="20"/>
                <w:szCs w:val="20"/>
              </w:rPr>
            </w:pPr>
            <w:r w:rsidRPr="0021170B">
              <w:rPr>
                <w:rFonts w:ascii="Garamond" w:hAnsi="Garamond"/>
                <w:bCs/>
                <w:sz w:val="20"/>
                <w:szCs w:val="20"/>
              </w:rPr>
              <w:t xml:space="preserve">Request a State Fair Hearing within 120 Calendar Days of Appeal Denial Letter </w:t>
            </w:r>
          </w:p>
        </w:tc>
      </w:tr>
      <w:tr w:rsidR="00A55AB4" w:rsidRPr="00A55AB4" w14:paraId="4536824B" w14:textId="77777777" w:rsidTr="008819EE">
        <w:trPr>
          <w:trHeight w:val="469"/>
        </w:trPr>
        <w:tc>
          <w:tcPr>
            <w:tcW w:w="2060" w:type="dxa"/>
            <w:vMerge/>
            <w:tcBorders>
              <w:top w:val="nil"/>
              <w:left w:val="single" w:sz="8" w:space="0" w:color="auto"/>
              <w:bottom w:val="single" w:sz="8" w:space="0" w:color="auto"/>
              <w:right w:val="single" w:sz="8" w:space="0" w:color="auto"/>
            </w:tcBorders>
            <w:shd w:val="clear" w:color="auto" w:fill="auto"/>
            <w:hideMark/>
          </w:tcPr>
          <w:p w14:paraId="4F59CCF8" w14:textId="77777777" w:rsidR="00A55AB4" w:rsidRPr="0074543A" w:rsidRDefault="00A55AB4" w:rsidP="000C20DB">
            <w:pPr>
              <w:spacing w:before="40" w:line="264" w:lineRule="auto"/>
              <w:rPr>
                <w:rFonts w:ascii="Garamond" w:hAnsi="Garamond"/>
                <w:b/>
                <w:color w:val="208F44"/>
                <w:sz w:val="21"/>
                <w:szCs w:val="21"/>
              </w:rPr>
            </w:pPr>
          </w:p>
        </w:tc>
        <w:tc>
          <w:tcPr>
            <w:tcW w:w="1980" w:type="dxa"/>
            <w:vMerge/>
            <w:tcBorders>
              <w:top w:val="nil"/>
              <w:left w:val="nil"/>
              <w:bottom w:val="single" w:sz="8" w:space="0" w:color="auto"/>
              <w:right w:val="single" w:sz="8" w:space="0" w:color="auto"/>
            </w:tcBorders>
            <w:vAlign w:val="center"/>
            <w:hideMark/>
          </w:tcPr>
          <w:p w14:paraId="43192B66" w14:textId="77777777" w:rsidR="00A55AB4" w:rsidRPr="000B4CC6" w:rsidRDefault="00A55AB4" w:rsidP="000C20DB">
            <w:pPr>
              <w:spacing w:line="264" w:lineRule="auto"/>
              <w:rPr>
                <w:rFonts w:ascii="Garamond" w:hAnsi="Garamond"/>
                <w:sz w:val="20"/>
                <w:szCs w:val="20"/>
              </w:rPr>
            </w:pP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37A2B1B6" w14:textId="77777777" w:rsidR="00A55AB4" w:rsidRPr="0074543A" w:rsidRDefault="00A55AB4" w:rsidP="000C20DB">
            <w:pPr>
              <w:spacing w:before="40" w:line="264" w:lineRule="auto"/>
              <w:ind w:left="-72" w:right="-144"/>
              <w:rPr>
                <w:rFonts w:ascii="Garamond" w:hAnsi="Garamond"/>
                <w:sz w:val="21"/>
                <w:szCs w:val="21"/>
              </w:rPr>
            </w:pPr>
            <w:r w:rsidRPr="0074543A">
              <w:rPr>
                <w:rFonts w:ascii="Garamond" w:hAnsi="Garamond"/>
                <w:sz w:val="21"/>
                <w:szCs w:val="21"/>
              </w:rPr>
              <w:t>30 Days for Standard</w:t>
            </w:r>
          </w:p>
        </w:tc>
        <w:tc>
          <w:tcPr>
            <w:tcW w:w="4590" w:type="dxa"/>
            <w:vMerge/>
            <w:tcBorders>
              <w:top w:val="nil"/>
              <w:left w:val="nil"/>
              <w:bottom w:val="single" w:sz="8" w:space="0" w:color="auto"/>
              <w:right w:val="single" w:sz="8" w:space="0" w:color="auto"/>
            </w:tcBorders>
            <w:vAlign w:val="center"/>
            <w:hideMark/>
          </w:tcPr>
          <w:p w14:paraId="77885BCB" w14:textId="77777777" w:rsidR="00A55AB4" w:rsidRPr="0021170B" w:rsidRDefault="00A55AB4" w:rsidP="000C20DB">
            <w:pPr>
              <w:spacing w:beforeLines="40" w:before="96" w:after="40"/>
              <w:contextualSpacing/>
              <w:rPr>
                <w:rFonts w:ascii="Garamond" w:hAnsi="Garamond"/>
                <w:bCs/>
                <w:sz w:val="20"/>
                <w:szCs w:val="20"/>
              </w:rPr>
            </w:pPr>
          </w:p>
        </w:tc>
      </w:tr>
      <w:tr w:rsidR="00A55AB4" w:rsidRPr="00A55AB4" w14:paraId="1CA14C06" w14:textId="77777777" w:rsidTr="008819EE">
        <w:trPr>
          <w:trHeight w:val="154"/>
        </w:trPr>
        <w:tc>
          <w:tcPr>
            <w:tcW w:w="2060"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7314159" w14:textId="77777777" w:rsidR="00A55AB4" w:rsidRPr="0074543A" w:rsidRDefault="00C0599A" w:rsidP="000C20DB">
            <w:pPr>
              <w:spacing w:before="40" w:line="264" w:lineRule="auto"/>
              <w:rPr>
                <w:rFonts w:ascii="Garamond" w:hAnsi="Garamond"/>
                <w:b/>
                <w:bCs/>
                <w:color w:val="208F44"/>
                <w:sz w:val="21"/>
                <w:szCs w:val="21"/>
              </w:rPr>
            </w:pPr>
            <w:r w:rsidRPr="0074543A">
              <w:rPr>
                <w:rFonts w:ascii="Garamond" w:hAnsi="Garamond"/>
                <w:b/>
                <w:bCs/>
                <w:color w:val="208F44"/>
                <w:sz w:val="21"/>
                <w:szCs w:val="21"/>
              </w:rPr>
              <w:t>Commercial - Health Benefits Exchange (HBE)</w:t>
            </w:r>
          </w:p>
        </w:tc>
        <w:tc>
          <w:tcPr>
            <w:tcW w:w="198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7A4E5D3" w14:textId="77777777" w:rsidR="00A55AB4" w:rsidRPr="000B4CC6" w:rsidRDefault="00A55AB4" w:rsidP="000C20DB">
            <w:pPr>
              <w:spacing w:before="40" w:line="264" w:lineRule="auto"/>
              <w:rPr>
                <w:rFonts w:ascii="Garamond" w:hAnsi="Garamond"/>
                <w:sz w:val="20"/>
                <w:szCs w:val="20"/>
              </w:rPr>
            </w:pPr>
            <w:r w:rsidRPr="000B4CC6">
              <w:rPr>
                <w:rFonts w:ascii="Garamond" w:hAnsi="Garamond"/>
                <w:sz w:val="20"/>
                <w:szCs w:val="20"/>
              </w:rPr>
              <w:t xml:space="preserve">180 Calendar Days from Initial Decision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2C11981C" w14:textId="77777777" w:rsidR="00A55AB4" w:rsidRDefault="00252483" w:rsidP="000C20DB">
            <w:pPr>
              <w:spacing w:before="40" w:after="40" w:line="264" w:lineRule="auto"/>
              <w:ind w:left="-72" w:right="-144"/>
              <w:rPr>
                <w:rFonts w:ascii="Garamond" w:hAnsi="Garamond"/>
                <w:sz w:val="21"/>
                <w:szCs w:val="21"/>
              </w:rPr>
            </w:pPr>
            <w:r>
              <w:rPr>
                <w:rFonts w:ascii="Garamond" w:hAnsi="Garamond"/>
                <w:b/>
                <w:sz w:val="21"/>
                <w:szCs w:val="21"/>
              </w:rPr>
              <w:t>Medical</w:t>
            </w:r>
            <w:r>
              <w:rPr>
                <w:rFonts w:ascii="Garamond" w:hAnsi="Garamond"/>
                <w:sz w:val="21"/>
                <w:szCs w:val="21"/>
              </w:rPr>
              <w:t xml:space="preserve">: </w:t>
            </w:r>
            <w:r w:rsidR="00A55AB4" w:rsidRPr="0074543A">
              <w:rPr>
                <w:rFonts w:ascii="Garamond" w:hAnsi="Garamond"/>
                <w:sz w:val="21"/>
                <w:szCs w:val="21"/>
              </w:rPr>
              <w:t xml:space="preserve">72 Hours for Expedited </w:t>
            </w:r>
          </w:p>
          <w:p w14:paraId="3A053673" w14:textId="77777777" w:rsidR="00252483" w:rsidRPr="0074543A" w:rsidRDefault="008819EE" w:rsidP="000C20DB">
            <w:pPr>
              <w:spacing w:after="40" w:line="264" w:lineRule="auto"/>
              <w:ind w:left="-72" w:right="-144"/>
              <w:rPr>
                <w:rFonts w:ascii="Garamond" w:hAnsi="Garamond"/>
                <w:sz w:val="21"/>
                <w:szCs w:val="21"/>
                <w:highlight w:val="yellow"/>
              </w:rPr>
            </w:pPr>
            <w:r>
              <w:rPr>
                <w:rFonts w:ascii="Garamond" w:hAnsi="Garamond"/>
                <w:b/>
                <w:sz w:val="21"/>
                <w:szCs w:val="21"/>
              </w:rPr>
              <w:t>Pharmacy</w:t>
            </w:r>
            <w:r w:rsidR="00252483">
              <w:rPr>
                <w:rFonts w:ascii="Garamond" w:hAnsi="Garamond"/>
                <w:sz w:val="21"/>
                <w:szCs w:val="21"/>
              </w:rPr>
              <w:t>: 24-72 Hours for Expedited</w:t>
            </w:r>
          </w:p>
        </w:tc>
        <w:tc>
          <w:tcPr>
            <w:tcW w:w="459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BA52469" w14:textId="17531F8B" w:rsidR="00A55AB4" w:rsidRPr="000B4CC6" w:rsidRDefault="00A55AB4" w:rsidP="000C20DB">
            <w:pPr>
              <w:pStyle w:val="ListParagraph"/>
              <w:numPr>
                <w:ilvl w:val="0"/>
                <w:numId w:val="1"/>
              </w:numPr>
              <w:spacing w:before="60" w:after="40"/>
              <w:ind w:left="201" w:hanging="187"/>
              <w:rPr>
                <w:rFonts w:ascii="Garamond" w:hAnsi="Garamond"/>
                <w:sz w:val="20"/>
                <w:szCs w:val="20"/>
              </w:rPr>
            </w:pPr>
            <w:r w:rsidRPr="0021170B">
              <w:rPr>
                <w:rFonts w:ascii="Garamond" w:hAnsi="Garamond"/>
                <w:bCs/>
                <w:sz w:val="20"/>
                <w:szCs w:val="20"/>
              </w:rPr>
              <w:t>Qualified Cases</w:t>
            </w:r>
            <w:r w:rsidR="00FD3598">
              <w:rPr>
                <w:rFonts w:ascii="Garamond" w:hAnsi="Garamond"/>
                <w:bCs/>
                <w:sz w:val="20"/>
                <w:szCs w:val="20"/>
              </w:rPr>
              <w:t>*</w:t>
            </w:r>
            <w:r w:rsidRPr="0021170B">
              <w:rPr>
                <w:rFonts w:ascii="Garamond" w:hAnsi="Garamond"/>
                <w:bCs/>
                <w:sz w:val="20"/>
                <w:szCs w:val="20"/>
              </w:rPr>
              <w:t xml:space="preserve"> Request External Appeal within four (4) months of Appeal Denial Letter  </w:t>
            </w:r>
          </w:p>
          <w:p w14:paraId="7506B02B" w14:textId="63F30D16" w:rsidR="000B4CC6" w:rsidRPr="000B4CC6" w:rsidRDefault="000B4CC6" w:rsidP="000B4CC6">
            <w:pPr>
              <w:spacing w:before="60" w:after="40"/>
              <w:rPr>
                <w:rFonts w:ascii="Garamond" w:hAnsi="Garamond"/>
                <w:sz w:val="20"/>
                <w:szCs w:val="20"/>
              </w:rPr>
            </w:pPr>
            <w:r>
              <w:rPr>
                <w:rFonts w:ascii="Garamond" w:hAnsi="Garamond"/>
                <w:sz w:val="20"/>
                <w:szCs w:val="20"/>
              </w:rPr>
              <w:br/>
            </w:r>
            <w:r>
              <w:rPr>
                <w:rFonts w:ascii="Garamond" w:hAnsi="Garamond"/>
                <w:sz w:val="20"/>
                <w:szCs w:val="20"/>
              </w:rPr>
              <w:br/>
              <w:t>* a fee may apply for HBE external reviews.</w:t>
            </w:r>
          </w:p>
        </w:tc>
      </w:tr>
      <w:tr w:rsidR="00A55AB4" w:rsidRPr="00A55AB4" w14:paraId="03533F5B" w14:textId="77777777" w:rsidTr="008819EE">
        <w:trPr>
          <w:trHeight w:val="394"/>
        </w:trPr>
        <w:tc>
          <w:tcPr>
            <w:tcW w:w="2060" w:type="dxa"/>
            <w:vMerge/>
            <w:tcBorders>
              <w:top w:val="nil"/>
              <w:left w:val="single" w:sz="8" w:space="0" w:color="auto"/>
              <w:bottom w:val="single" w:sz="8" w:space="0" w:color="auto"/>
              <w:right w:val="single" w:sz="8" w:space="0" w:color="auto"/>
            </w:tcBorders>
            <w:shd w:val="clear" w:color="auto" w:fill="auto"/>
            <w:hideMark/>
          </w:tcPr>
          <w:p w14:paraId="72EE32F5" w14:textId="77777777" w:rsidR="00A55AB4" w:rsidRPr="0074543A" w:rsidRDefault="00A55AB4" w:rsidP="000C20DB">
            <w:pPr>
              <w:spacing w:before="40" w:line="264" w:lineRule="auto"/>
              <w:rPr>
                <w:rFonts w:ascii="Garamond" w:hAnsi="Garamond"/>
                <w:b/>
                <w:color w:val="208F44"/>
                <w:sz w:val="21"/>
                <w:szCs w:val="21"/>
              </w:rPr>
            </w:pPr>
          </w:p>
        </w:tc>
        <w:tc>
          <w:tcPr>
            <w:tcW w:w="1980" w:type="dxa"/>
            <w:vMerge/>
            <w:tcBorders>
              <w:top w:val="nil"/>
              <w:left w:val="nil"/>
              <w:bottom w:val="single" w:sz="8" w:space="0" w:color="auto"/>
              <w:right w:val="single" w:sz="8" w:space="0" w:color="auto"/>
            </w:tcBorders>
            <w:vAlign w:val="center"/>
            <w:hideMark/>
          </w:tcPr>
          <w:p w14:paraId="3725C45C" w14:textId="77777777" w:rsidR="00A55AB4" w:rsidRPr="000B4CC6" w:rsidRDefault="00A55AB4" w:rsidP="000C20DB">
            <w:pPr>
              <w:spacing w:beforeLines="40" w:before="96" w:line="264" w:lineRule="auto"/>
              <w:rPr>
                <w:rFonts w:ascii="Garamond" w:hAnsi="Garamond"/>
                <w:sz w:val="20"/>
                <w:szCs w:val="20"/>
              </w:rPr>
            </w:pP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3EEAD1DE" w14:textId="77777777" w:rsidR="00A55AB4" w:rsidRPr="0074543A" w:rsidRDefault="00A55AB4" w:rsidP="000C20DB">
            <w:pPr>
              <w:spacing w:beforeLines="40" w:before="96" w:line="264" w:lineRule="auto"/>
              <w:ind w:left="-72" w:right="-144"/>
              <w:rPr>
                <w:rFonts w:ascii="Garamond" w:hAnsi="Garamond"/>
                <w:sz w:val="21"/>
                <w:szCs w:val="21"/>
              </w:rPr>
            </w:pPr>
            <w:r w:rsidRPr="0074543A">
              <w:rPr>
                <w:rFonts w:ascii="Garamond" w:hAnsi="Garamond"/>
                <w:sz w:val="21"/>
                <w:szCs w:val="21"/>
              </w:rPr>
              <w:t>30 Days for Standard</w:t>
            </w:r>
          </w:p>
        </w:tc>
        <w:tc>
          <w:tcPr>
            <w:tcW w:w="4590" w:type="dxa"/>
            <w:vMerge/>
            <w:tcBorders>
              <w:top w:val="nil"/>
              <w:left w:val="nil"/>
              <w:bottom w:val="single" w:sz="8" w:space="0" w:color="auto"/>
              <w:right w:val="single" w:sz="8" w:space="0" w:color="auto"/>
            </w:tcBorders>
            <w:vAlign w:val="center"/>
            <w:hideMark/>
          </w:tcPr>
          <w:p w14:paraId="51820053" w14:textId="77777777" w:rsidR="00A55AB4" w:rsidRPr="0021170B" w:rsidRDefault="00A55AB4" w:rsidP="000C20DB">
            <w:pPr>
              <w:spacing w:beforeLines="40" w:before="96" w:after="40"/>
              <w:contextualSpacing/>
              <w:rPr>
                <w:rFonts w:ascii="Garamond" w:hAnsi="Garamond"/>
                <w:sz w:val="20"/>
                <w:szCs w:val="20"/>
              </w:rPr>
            </w:pPr>
          </w:p>
        </w:tc>
      </w:tr>
      <w:tr w:rsidR="00A55AB4" w:rsidRPr="00A55AB4" w14:paraId="212FFC3D" w14:textId="77777777" w:rsidTr="008819EE">
        <w:trPr>
          <w:trHeight w:val="192"/>
        </w:trPr>
        <w:tc>
          <w:tcPr>
            <w:tcW w:w="2060"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BB23950" w14:textId="77777777" w:rsidR="00A55AB4" w:rsidRPr="0074543A" w:rsidRDefault="00C0599A" w:rsidP="000C20DB">
            <w:pPr>
              <w:spacing w:before="40" w:line="264" w:lineRule="auto"/>
              <w:rPr>
                <w:rFonts w:ascii="Garamond" w:hAnsi="Garamond"/>
                <w:b/>
                <w:bCs/>
                <w:color w:val="208F44"/>
                <w:sz w:val="21"/>
                <w:szCs w:val="21"/>
              </w:rPr>
            </w:pPr>
            <w:r w:rsidRPr="0074543A">
              <w:rPr>
                <w:rFonts w:ascii="Garamond" w:hAnsi="Garamond"/>
                <w:b/>
                <w:bCs/>
                <w:color w:val="208F44"/>
                <w:sz w:val="21"/>
                <w:szCs w:val="21"/>
              </w:rPr>
              <w:t xml:space="preserve">INTEGRITY - </w:t>
            </w:r>
            <w:r w:rsidR="00A55AB4" w:rsidRPr="0074543A">
              <w:rPr>
                <w:rFonts w:ascii="Garamond" w:hAnsi="Garamond"/>
                <w:b/>
                <w:bCs/>
                <w:color w:val="208F44"/>
                <w:sz w:val="21"/>
                <w:szCs w:val="21"/>
              </w:rPr>
              <w:t>MMP Part C</w:t>
            </w:r>
          </w:p>
        </w:tc>
        <w:tc>
          <w:tcPr>
            <w:tcW w:w="198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F4D6ED4" w14:textId="77777777" w:rsidR="00A55AB4" w:rsidRPr="000B4CC6" w:rsidRDefault="00A55AB4" w:rsidP="000C20DB">
            <w:pPr>
              <w:spacing w:before="40" w:line="264" w:lineRule="auto"/>
              <w:rPr>
                <w:rFonts w:ascii="Garamond" w:hAnsi="Garamond"/>
                <w:sz w:val="20"/>
                <w:szCs w:val="20"/>
              </w:rPr>
            </w:pPr>
            <w:r w:rsidRPr="000B4CC6">
              <w:rPr>
                <w:rFonts w:ascii="Garamond" w:hAnsi="Garamond"/>
                <w:sz w:val="20"/>
                <w:szCs w:val="20"/>
              </w:rPr>
              <w:t>60 Calendar Days from Initial Decision</w:t>
            </w:r>
            <w:r w:rsidR="008819EE" w:rsidRPr="000B4CC6">
              <w:rPr>
                <w:rStyle w:val="EndnoteReference"/>
                <w:rFonts w:ascii="Garamond" w:hAnsi="Garamond"/>
                <w:sz w:val="20"/>
                <w:szCs w:val="20"/>
              </w:rPr>
              <w:endnoteReference w:id="1"/>
            </w:r>
          </w:p>
          <w:p w14:paraId="08A1B7C6" w14:textId="77777777" w:rsidR="00A55AB4" w:rsidRPr="000B4CC6" w:rsidRDefault="00A55AB4" w:rsidP="000C20DB">
            <w:pPr>
              <w:spacing w:before="40" w:line="264" w:lineRule="auto"/>
              <w:rPr>
                <w:rFonts w:ascii="Garamond" w:hAnsi="Garamond"/>
                <w:sz w:val="20"/>
                <w:szCs w:val="20"/>
              </w:rPr>
            </w:pPr>
          </w:p>
          <w:p w14:paraId="3F13EB0A" w14:textId="77777777" w:rsidR="00A55AB4" w:rsidRPr="000B4CC6" w:rsidRDefault="00A55AB4" w:rsidP="000C20DB">
            <w:pPr>
              <w:spacing w:before="40" w:line="264" w:lineRule="auto"/>
              <w:rPr>
                <w:rFonts w:ascii="Garamond" w:hAnsi="Garamond"/>
                <w:sz w:val="20"/>
                <w:szCs w:val="20"/>
              </w:rPr>
            </w:pP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7A2CBCBD" w14:textId="77777777" w:rsidR="00A55AB4" w:rsidRPr="0074543A" w:rsidRDefault="00A55AB4" w:rsidP="000C20DB">
            <w:pPr>
              <w:spacing w:before="40" w:after="40" w:line="264" w:lineRule="auto"/>
              <w:ind w:left="-72" w:right="-144"/>
              <w:rPr>
                <w:rFonts w:ascii="Garamond" w:hAnsi="Garamond"/>
                <w:sz w:val="21"/>
                <w:szCs w:val="21"/>
              </w:rPr>
            </w:pPr>
            <w:r w:rsidRPr="0074543A">
              <w:rPr>
                <w:rFonts w:ascii="Garamond" w:hAnsi="Garamond"/>
                <w:sz w:val="21"/>
                <w:szCs w:val="21"/>
              </w:rPr>
              <w:t>72 Hours for Expedited</w:t>
            </w:r>
          </w:p>
        </w:tc>
        <w:tc>
          <w:tcPr>
            <w:tcW w:w="459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151A442" w14:textId="77777777" w:rsidR="00A55AB4" w:rsidRPr="0021170B" w:rsidRDefault="00A55AB4" w:rsidP="000C20DB">
            <w:pPr>
              <w:spacing w:before="40" w:after="40"/>
              <w:contextualSpacing/>
              <w:rPr>
                <w:rFonts w:ascii="Garamond" w:hAnsi="Garamond"/>
                <w:b/>
                <w:bCs/>
                <w:color w:val="000000" w:themeColor="text1"/>
                <w:sz w:val="20"/>
                <w:szCs w:val="20"/>
              </w:rPr>
            </w:pPr>
            <w:r w:rsidRPr="0021170B">
              <w:rPr>
                <w:rFonts w:ascii="Garamond" w:hAnsi="Garamond"/>
                <w:bCs/>
                <w:color w:val="000000" w:themeColor="text1"/>
                <w:sz w:val="20"/>
                <w:szCs w:val="20"/>
                <w:u w:val="single"/>
              </w:rPr>
              <w:t>For Medicare Only and Overlap Services</w:t>
            </w:r>
            <w:r w:rsidRPr="0021170B">
              <w:rPr>
                <w:rFonts w:ascii="Garamond" w:hAnsi="Garamond"/>
                <w:b/>
                <w:bCs/>
                <w:color w:val="000000" w:themeColor="text1"/>
                <w:sz w:val="20"/>
                <w:szCs w:val="20"/>
              </w:rPr>
              <w:t>:</w:t>
            </w:r>
          </w:p>
          <w:p w14:paraId="54174CB8" w14:textId="77777777" w:rsidR="00A55AB4" w:rsidRPr="0021170B" w:rsidRDefault="00A55AB4" w:rsidP="000C20DB">
            <w:pPr>
              <w:pStyle w:val="ListParagraph"/>
              <w:numPr>
                <w:ilvl w:val="0"/>
                <w:numId w:val="2"/>
              </w:numPr>
              <w:spacing w:before="40" w:after="40"/>
              <w:ind w:left="201" w:hanging="187"/>
              <w:rPr>
                <w:rFonts w:ascii="Garamond" w:hAnsi="Garamond"/>
                <w:bCs/>
                <w:sz w:val="20"/>
                <w:szCs w:val="20"/>
              </w:rPr>
            </w:pPr>
            <w:r w:rsidRPr="0021170B">
              <w:rPr>
                <w:rFonts w:ascii="Garamond" w:hAnsi="Garamond"/>
                <w:bCs/>
                <w:sz w:val="20"/>
                <w:szCs w:val="20"/>
              </w:rPr>
              <w:t xml:space="preserve">Appeals are </w:t>
            </w:r>
            <w:proofErr w:type="gramStart"/>
            <w:r w:rsidRPr="0021170B">
              <w:rPr>
                <w:rFonts w:ascii="Garamond" w:hAnsi="Garamond"/>
                <w:bCs/>
                <w:sz w:val="20"/>
                <w:szCs w:val="20"/>
              </w:rPr>
              <w:t>auto-forwarded</w:t>
            </w:r>
            <w:proofErr w:type="gramEnd"/>
            <w:r w:rsidRPr="0021170B">
              <w:rPr>
                <w:rFonts w:ascii="Garamond" w:hAnsi="Garamond"/>
                <w:bCs/>
                <w:sz w:val="20"/>
                <w:szCs w:val="20"/>
              </w:rPr>
              <w:t xml:space="preserve"> to MAXIMUS if Upheld by GAU. </w:t>
            </w:r>
          </w:p>
          <w:p w14:paraId="1CE71965" w14:textId="77777777" w:rsidR="00A55AB4" w:rsidRPr="0021170B" w:rsidRDefault="00A55AB4" w:rsidP="000C20DB">
            <w:pPr>
              <w:spacing w:before="40" w:after="40"/>
              <w:contextualSpacing/>
              <w:rPr>
                <w:rFonts w:ascii="Garamond" w:hAnsi="Garamond"/>
                <w:bCs/>
                <w:color w:val="000000" w:themeColor="text1"/>
                <w:sz w:val="20"/>
                <w:szCs w:val="20"/>
                <w:u w:val="single"/>
              </w:rPr>
            </w:pPr>
            <w:r w:rsidRPr="0021170B">
              <w:rPr>
                <w:rFonts w:ascii="Garamond" w:hAnsi="Garamond"/>
                <w:bCs/>
                <w:color w:val="000000" w:themeColor="text1"/>
                <w:sz w:val="20"/>
                <w:szCs w:val="20"/>
                <w:u w:val="single"/>
              </w:rPr>
              <w:t xml:space="preserve">For Overlap and Medicaid Only Services: </w:t>
            </w:r>
          </w:p>
          <w:p w14:paraId="68C5F667" w14:textId="77777777" w:rsidR="00A55AB4" w:rsidRPr="0021170B" w:rsidRDefault="0032203C" w:rsidP="000C20DB">
            <w:pPr>
              <w:pStyle w:val="ListParagraph"/>
              <w:numPr>
                <w:ilvl w:val="0"/>
                <w:numId w:val="2"/>
              </w:numPr>
              <w:spacing w:before="40" w:after="40"/>
              <w:ind w:left="201" w:hanging="187"/>
              <w:rPr>
                <w:rFonts w:ascii="Garamond" w:hAnsi="Garamond"/>
                <w:bCs/>
                <w:sz w:val="20"/>
                <w:szCs w:val="20"/>
              </w:rPr>
            </w:pPr>
            <w:r w:rsidRPr="0021170B">
              <w:rPr>
                <w:rFonts w:ascii="Garamond" w:hAnsi="Garamond"/>
                <w:bCs/>
                <w:sz w:val="20"/>
                <w:szCs w:val="20"/>
              </w:rPr>
              <w:t>Qualified Cases</w:t>
            </w:r>
            <w:r w:rsidR="00FD3598">
              <w:rPr>
                <w:rFonts w:ascii="Garamond" w:hAnsi="Garamond"/>
                <w:bCs/>
                <w:sz w:val="20"/>
                <w:szCs w:val="20"/>
              </w:rPr>
              <w:t>*</w:t>
            </w:r>
            <w:r w:rsidRPr="0021170B">
              <w:rPr>
                <w:rFonts w:ascii="Garamond" w:hAnsi="Garamond"/>
                <w:bCs/>
                <w:sz w:val="20"/>
                <w:szCs w:val="20"/>
              </w:rPr>
              <w:t xml:space="preserve">: </w:t>
            </w:r>
            <w:r w:rsidR="00A55AB4" w:rsidRPr="0021170B">
              <w:rPr>
                <w:rFonts w:ascii="Garamond" w:hAnsi="Garamond"/>
                <w:bCs/>
                <w:sz w:val="20"/>
                <w:szCs w:val="20"/>
              </w:rPr>
              <w:t>Request External Appeal</w:t>
            </w:r>
            <w:r w:rsidR="003B63F9" w:rsidRPr="0021170B">
              <w:rPr>
                <w:rFonts w:ascii="Garamond" w:hAnsi="Garamond"/>
                <w:bCs/>
                <w:sz w:val="20"/>
                <w:szCs w:val="20"/>
              </w:rPr>
              <w:t xml:space="preserve"> within four (4) M</w:t>
            </w:r>
            <w:r w:rsidR="00A55AB4" w:rsidRPr="0021170B">
              <w:rPr>
                <w:rFonts w:ascii="Garamond" w:hAnsi="Garamond"/>
                <w:bCs/>
                <w:sz w:val="20"/>
                <w:szCs w:val="20"/>
              </w:rPr>
              <w:t>onths of Appeal Denial Letter</w:t>
            </w:r>
            <w:r w:rsidR="003B63F9" w:rsidRPr="0021170B">
              <w:rPr>
                <w:rFonts w:ascii="Garamond" w:hAnsi="Garamond"/>
                <w:bCs/>
                <w:sz w:val="20"/>
                <w:szCs w:val="20"/>
              </w:rPr>
              <w:t>; and/or</w:t>
            </w:r>
          </w:p>
          <w:p w14:paraId="0D8ACEE6" w14:textId="77777777" w:rsidR="00A55AB4" w:rsidRPr="0021170B" w:rsidRDefault="00A55AB4" w:rsidP="000C20DB">
            <w:pPr>
              <w:pStyle w:val="ListParagraph"/>
              <w:numPr>
                <w:ilvl w:val="0"/>
                <w:numId w:val="2"/>
              </w:numPr>
              <w:spacing w:before="40" w:after="80"/>
              <w:ind w:left="201" w:hanging="187"/>
              <w:rPr>
                <w:rFonts w:ascii="Garamond" w:hAnsi="Garamond"/>
                <w:bCs/>
                <w:sz w:val="20"/>
                <w:szCs w:val="20"/>
              </w:rPr>
            </w:pPr>
            <w:r w:rsidRPr="0021170B">
              <w:rPr>
                <w:rFonts w:ascii="Garamond" w:hAnsi="Garamond"/>
                <w:bCs/>
                <w:sz w:val="20"/>
                <w:szCs w:val="20"/>
              </w:rPr>
              <w:t xml:space="preserve">Request a State Fair Hearing within 120 Calendar Days of Appeal Denial Letter  </w:t>
            </w:r>
            <w:r w:rsidRPr="0021170B">
              <w:rPr>
                <w:rFonts w:ascii="Garamond" w:hAnsi="Garamond"/>
                <w:sz w:val="20"/>
                <w:szCs w:val="20"/>
                <w:u w:val="single"/>
              </w:rPr>
              <w:t xml:space="preserve"> </w:t>
            </w:r>
            <w:r w:rsidRPr="0021170B">
              <w:rPr>
                <w:rFonts w:ascii="Garamond" w:hAnsi="Garamond"/>
                <w:sz w:val="20"/>
                <w:szCs w:val="20"/>
              </w:rPr>
              <w:t xml:space="preserve"> </w:t>
            </w:r>
          </w:p>
        </w:tc>
      </w:tr>
      <w:tr w:rsidR="00A55AB4" w:rsidRPr="00A55AB4" w14:paraId="796E0F65" w14:textId="77777777" w:rsidTr="008819EE">
        <w:trPr>
          <w:trHeight w:val="192"/>
        </w:trPr>
        <w:tc>
          <w:tcPr>
            <w:tcW w:w="2060" w:type="dxa"/>
            <w:vMerge/>
            <w:tcBorders>
              <w:top w:val="nil"/>
              <w:left w:val="single" w:sz="8" w:space="0" w:color="auto"/>
              <w:bottom w:val="single" w:sz="8" w:space="0" w:color="auto"/>
              <w:right w:val="single" w:sz="8" w:space="0" w:color="auto"/>
            </w:tcBorders>
            <w:shd w:val="clear" w:color="auto" w:fill="auto"/>
            <w:hideMark/>
          </w:tcPr>
          <w:p w14:paraId="48EC69DB" w14:textId="77777777" w:rsidR="00A55AB4" w:rsidRPr="0074543A" w:rsidRDefault="00A55AB4" w:rsidP="000C20DB">
            <w:pPr>
              <w:spacing w:beforeLines="40" w:before="96" w:line="264" w:lineRule="auto"/>
              <w:rPr>
                <w:rFonts w:ascii="Garamond" w:hAnsi="Garamond"/>
                <w:b/>
                <w:bCs/>
                <w:color w:val="208F44"/>
                <w:sz w:val="21"/>
                <w:szCs w:val="21"/>
              </w:rPr>
            </w:pPr>
          </w:p>
        </w:tc>
        <w:tc>
          <w:tcPr>
            <w:tcW w:w="1980" w:type="dxa"/>
            <w:vMerge/>
            <w:tcBorders>
              <w:top w:val="nil"/>
              <w:left w:val="nil"/>
              <w:bottom w:val="single" w:sz="8" w:space="0" w:color="auto"/>
              <w:right w:val="single" w:sz="8" w:space="0" w:color="auto"/>
            </w:tcBorders>
            <w:vAlign w:val="center"/>
            <w:hideMark/>
          </w:tcPr>
          <w:p w14:paraId="30A5CB27" w14:textId="77777777" w:rsidR="00A55AB4" w:rsidRPr="000B4CC6" w:rsidRDefault="00A55AB4" w:rsidP="000C20DB">
            <w:pPr>
              <w:spacing w:beforeLines="40" w:before="96" w:line="264" w:lineRule="auto"/>
              <w:rPr>
                <w:rFonts w:ascii="Garamond" w:hAnsi="Garamond"/>
                <w:sz w:val="20"/>
                <w:szCs w:val="20"/>
              </w:rPr>
            </w:pP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636F73C7" w14:textId="77777777" w:rsidR="00A55AB4" w:rsidRPr="0074543A" w:rsidRDefault="00A55AB4" w:rsidP="000C20DB">
            <w:pPr>
              <w:spacing w:beforeLines="40" w:before="96" w:line="264" w:lineRule="auto"/>
              <w:ind w:left="-72" w:right="-144"/>
              <w:rPr>
                <w:rFonts w:ascii="Garamond" w:hAnsi="Garamond"/>
                <w:sz w:val="21"/>
                <w:szCs w:val="21"/>
              </w:rPr>
            </w:pPr>
            <w:r w:rsidRPr="0074543A">
              <w:rPr>
                <w:rFonts w:ascii="Garamond" w:hAnsi="Garamond"/>
                <w:sz w:val="21"/>
                <w:szCs w:val="21"/>
              </w:rPr>
              <w:t>30 Days for Standard</w:t>
            </w:r>
          </w:p>
        </w:tc>
        <w:tc>
          <w:tcPr>
            <w:tcW w:w="4590" w:type="dxa"/>
            <w:vMerge/>
            <w:tcBorders>
              <w:top w:val="nil"/>
              <w:left w:val="nil"/>
              <w:bottom w:val="single" w:sz="8" w:space="0" w:color="auto"/>
              <w:right w:val="single" w:sz="8" w:space="0" w:color="auto"/>
            </w:tcBorders>
            <w:vAlign w:val="center"/>
            <w:hideMark/>
          </w:tcPr>
          <w:p w14:paraId="45B9869D" w14:textId="77777777" w:rsidR="00A55AB4" w:rsidRPr="0021170B" w:rsidRDefault="00A55AB4" w:rsidP="000C20DB">
            <w:pPr>
              <w:spacing w:beforeLines="40" w:before="96" w:after="40"/>
              <w:contextualSpacing/>
              <w:rPr>
                <w:rFonts w:ascii="Garamond" w:hAnsi="Garamond"/>
                <w:bCs/>
                <w:sz w:val="20"/>
                <w:szCs w:val="20"/>
              </w:rPr>
            </w:pPr>
          </w:p>
        </w:tc>
      </w:tr>
      <w:tr w:rsidR="00A55AB4" w:rsidRPr="00A55AB4" w14:paraId="6C6842E3" w14:textId="77777777" w:rsidTr="008819EE">
        <w:trPr>
          <w:trHeight w:val="476"/>
        </w:trPr>
        <w:tc>
          <w:tcPr>
            <w:tcW w:w="2060" w:type="dxa"/>
            <w:vMerge w:val="restart"/>
            <w:tcBorders>
              <w:top w:val="nil"/>
              <w:left w:val="single" w:sz="8" w:space="0" w:color="auto"/>
              <w:right w:val="single" w:sz="8" w:space="0" w:color="auto"/>
            </w:tcBorders>
            <w:shd w:val="clear" w:color="auto" w:fill="auto"/>
            <w:tcMar>
              <w:top w:w="0" w:type="dxa"/>
              <w:left w:w="108" w:type="dxa"/>
              <w:bottom w:w="0" w:type="dxa"/>
              <w:right w:w="108" w:type="dxa"/>
            </w:tcMar>
          </w:tcPr>
          <w:p w14:paraId="0E519825" w14:textId="77777777" w:rsidR="003B63F9" w:rsidRPr="0074543A" w:rsidRDefault="00C0599A" w:rsidP="000C20DB">
            <w:pPr>
              <w:spacing w:before="40" w:line="264" w:lineRule="auto"/>
              <w:rPr>
                <w:rFonts w:ascii="Garamond" w:hAnsi="Garamond"/>
                <w:b/>
                <w:bCs/>
                <w:color w:val="208F44"/>
                <w:sz w:val="21"/>
                <w:szCs w:val="21"/>
              </w:rPr>
            </w:pPr>
            <w:r w:rsidRPr="0074543A">
              <w:rPr>
                <w:rFonts w:ascii="Garamond" w:hAnsi="Garamond"/>
                <w:b/>
                <w:bCs/>
                <w:color w:val="208F44"/>
                <w:sz w:val="21"/>
                <w:szCs w:val="21"/>
              </w:rPr>
              <w:t xml:space="preserve">INTEGRITY - </w:t>
            </w:r>
            <w:r w:rsidR="00A55AB4" w:rsidRPr="0074543A">
              <w:rPr>
                <w:rFonts w:ascii="Garamond" w:hAnsi="Garamond"/>
                <w:b/>
                <w:bCs/>
                <w:color w:val="208F44"/>
                <w:sz w:val="21"/>
                <w:szCs w:val="21"/>
              </w:rPr>
              <w:t xml:space="preserve">MMP Part B </w:t>
            </w:r>
          </w:p>
          <w:p w14:paraId="6B46800E" w14:textId="77777777" w:rsidR="00A55AB4" w:rsidRPr="0074543A" w:rsidRDefault="00A55AB4" w:rsidP="000C20DB">
            <w:pPr>
              <w:spacing w:before="40" w:line="264" w:lineRule="auto"/>
              <w:rPr>
                <w:rFonts w:ascii="Garamond" w:hAnsi="Garamond"/>
                <w:color w:val="208F44"/>
                <w:sz w:val="21"/>
                <w:szCs w:val="21"/>
              </w:rPr>
            </w:pPr>
            <w:r w:rsidRPr="0074543A">
              <w:rPr>
                <w:rFonts w:ascii="Garamond" w:hAnsi="Garamond"/>
                <w:bCs/>
                <w:color w:val="000000" w:themeColor="text1"/>
                <w:sz w:val="20"/>
                <w:szCs w:val="21"/>
              </w:rPr>
              <w:t>Pre-Service Appeals (Part B = “buy and bill” drugs)</w:t>
            </w:r>
          </w:p>
        </w:tc>
        <w:tc>
          <w:tcPr>
            <w:tcW w:w="1980" w:type="dxa"/>
            <w:vMerge w:val="restart"/>
            <w:tcBorders>
              <w:top w:val="nil"/>
              <w:left w:val="nil"/>
              <w:right w:val="single" w:sz="8" w:space="0" w:color="auto"/>
            </w:tcBorders>
            <w:tcMar>
              <w:top w:w="0" w:type="dxa"/>
              <w:left w:w="108" w:type="dxa"/>
              <w:bottom w:w="0" w:type="dxa"/>
              <w:right w:w="108" w:type="dxa"/>
            </w:tcMar>
          </w:tcPr>
          <w:p w14:paraId="0AAB9745" w14:textId="77777777" w:rsidR="00A55AB4" w:rsidRPr="000B4CC6" w:rsidRDefault="00A55AB4" w:rsidP="000C20DB">
            <w:pPr>
              <w:spacing w:before="40" w:line="264" w:lineRule="auto"/>
              <w:rPr>
                <w:rFonts w:ascii="Garamond" w:hAnsi="Garamond"/>
                <w:sz w:val="20"/>
                <w:szCs w:val="20"/>
              </w:rPr>
            </w:pPr>
            <w:r w:rsidRPr="000B4CC6">
              <w:rPr>
                <w:rFonts w:ascii="Garamond" w:hAnsi="Garamond"/>
                <w:sz w:val="20"/>
                <w:szCs w:val="20"/>
              </w:rPr>
              <w:t xml:space="preserve">60 Calendar Days from Pharmacy Decision Letter </w:t>
            </w:r>
          </w:p>
          <w:p w14:paraId="73D6E10B" w14:textId="77777777" w:rsidR="00A55AB4" w:rsidRPr="000B4CC6" w:rsidRDefault="00A55AB4" w:rsidP="000C20DB">
            <w:pPr>
              <w:spacing w:before="40" w:line="264" w:lineRule="auto"/>
              <w:rPr>
                <w:rFonts w:ascii="Garamond" w:hAnsi="Garamond"/>
                <w:sz w:val="20"/>
                <w:szCs w:val="20"/>
              </w:rPr>
            </w:pPr>
          </w:p>
        </w:tc>
        <w:tc>
          <w:tcPr>
            <w:tcW w:w="2160" w:type="dxa"/>
            <w:tcBorders>
              <w:top w:val="nil"/>
              <w:left w:val="nil"/>
              <w:bottom w:val="single" w:sz="4" w:space="0" w:color="auto"/>
              <w:right w:val="single" w:sz="8" w:space="0" w:color="auto"/>
            </w:tcBorders>
            <w:tcMar>
              <w:top w:w="0" w:type="dxa"/>
              <w:left w:w="108" w:type="dxa"/>
              <w:bottom w:w="0" w:type="dxa"/>
              <w:right w:w="108" w:type="dxa"/>
            </w:tcMar>
          </w:tcPr>
          <w:p w14:paraId="15845EEE" w14:textId="77777777" w:rsidR="00A55AB4" w:rsidRPr="0074543A" w:rsidRDefault="00A55AB4" w:rsidP="000C20DB">
            <w:pPr>
              <w:spacing w:before="40" w:after="40" w:line="264" w:lineRule="auto"/>
              <w:ind w:left="-72" w:right="-144"/>
              <w:rPr>
                <w:rFonts w:ascii="Garamond" w:hAnsi="Garamond"/>
                <w:sz w:val="21"/>
                <w:szCs w:val="21"/>
              </w:rPr>
            </w:pPr>
            <w:r w:rsidRPr="0074543A">
              <w:rPr>
                <w:rFonts w:ascii="Garamond" w:hAnsi="Garamond"/>
                <w:sz w:val="21"/>
                <w:szCs w:val="21"/>
              </w:rPr>
              <w:t>72 Hours for Expedited</w:t>
            </w:r>
          </w:p>
        </w:tc>
        <w:tc>
          <w:tcPr>
            <w:tcW w:w="4590" w:type="dxa"/>
            <w:vMerge w:val="restart"/>
            <w:tcBorders>
              <w:top w:val="nil"/>
              <w:left w:val="nil"/>
              <w:right w:val="single" w:sz="8" w:space="0" w:color="auto"/>
            </w:tcBorders>
            <w:tcMar>
              <w:top w:w="0" w:type="dxa"/>
              <w:left w:w="108" w:type="dxa"/>
              <w:bottom w:w="0" w:type="dxa"/>
              <w:right w:w="108" w:type="dxa"/>
            </w:tcMar>
          </w:tcPr>
          <w:p w14:paraId="123A94B9" w14:textId="77777777" w:rsidR="00A55AB4" w:rsidRPr="0021170B" w:rsidRDefault="00A55AB4" w:rsidP="000C20DB">
            <w:pPr>
              <w:pStyle w:val="ListParagraph"/>
              <w:numPr>
                <w:ilvl w:val="0"/>
                <w:numId w:val="4"/>
              </w:numPr>
              <w:spacing w:before="40" w:after="40"/>
              <w:ind w:left="216" w:hanging="187"/>
              <w:rPr>
                <w:rFonts w:ascii="Garamond" w:hAnsi="Garamond"/>
                <w:sz w:val="20"/>
                <w:szCs w:val="20"/>
              </w:rPr>
            </w:pPr>
            <w:r w:rsidRPr="0021170B">
              <w:rPr>
                <w:rFonts w:ascii="Garamond" w:hAnsi="Garamond"/>
                <w:bCs/>
                <w:sz w:val="20"/>
                <w:szCs w:val="20"/>
              </w:rPr>
              <w:t xml:space="preserve">All Part B Appeals are </w:t>
            </w:r>
            <w:proofErr w:type="gramStart"/>
            <w:r w:rsidRPr="0021170B">
              <w:rPr>
                <w:rFonts w:ascii="Garamond" w:hAnsi="Garamond"/>
                <w:bCs/>
                <w:sz w:val="20"/>
                <w:szCs w:val="20"/>
              </w:rPr>
              <w:t>auto-forwarded</w:t>
            </w:r>
            <w:proofErr w:type="gramEnd"/>
            <w:r w:rsidRPr="0021170B">
              <w:rPr>
                <w:rFonts w:ascii="Garamond" w:hAnsi="Garamond"/>
                <w:bCs/>
                <w:sz w:val="20"/>
                <w:szCs w:val="20"/>
              </w:rPr>
              <w:t xml:space="preserve"> to MAXIMUS if Upheld by GAU</w:t>
            </w:r>
          </w:p>
        </w:tc>
      </w:tr>
      <w:tr w:rsidR="00A55AB4" w:rsidRPr="00A55AB4" w14:paraId="6E27C75F" w14:textId="77777777" w:rsidTr="008819EE">
        <w:trPr>
          <w:trHeight w:val="476"/>
        </w:trPr>
        <w:tc>
          <w:tcPr>
            <w:tcW w:w="2060" w:type="dxa"/>
            <w:vMerge/>
            <w:tcBorders>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14:paraId="76DAFBD1" w14:textId="77777777" w:rsidR="00A55AB4" w:rsidRPr="0074543A" w:rsidRDefault="00A55AB4" w:rsidP="000C20DB">
            <w:pPr>
              <w:spacing w:before="40" w:line="264" w:lineRule="auto"/>
              <w:rPr>
                <w:rFonts w:ascii="Garamond" w:hAnsi="Garamond"/>
                <w:b/>
                <w:bCs/>
                <w:color w:val="208F44"/>
                <w:sz w:val="21"/>
                <w:szCs w:val="21"/>
              </w:rPr>
            </w:pPr>
          </w:p>
        </w:tc>
        <w:tc>
          <w:tcPr>
            <w:tcW w:w="1980" w:type="dxa"/>
            <w:vMerge/>
            <w:tcBorders>
              <w:left w:val="nil"/>
              <w:bottom w:val="single" w:sz="4" w:space="0" w:color="auto"/>
              <w:right w:val="single" w:sz="8" w:space="0" w:color="auto"/>
            </w:tcBorders>
            <w:tcMar>
              <w:top w:w="0" w:type="dxa"/>
              <w:left w:w="108" w:type="dxa"/>
              <w:bottom w:w="0" w:type="dxa"/>
              <w:right w:w="108" w:type="dxa"/>
            </w:tcMar>
          </w:tcPr>
          <w:p w14:paraId="49FB7CC8" w14:textId="77777777" w:rsidR="00A55AB4" w:rsidRPr="000B4CC6" w:rsidRDefault="00A55AB4" w:rsidP="000C20DB">
            <w:pPr>
              <w:spacing w:before="40" w:line="264" w:lineRule="auto"/>
              <w:rPr>
                <w:rFonts w:ascii="Garamond" w:hAnsi="Garamond"/>
                <w:sz w:val="20"/>
                <w:szCs w:val="20"/>
              </w:rPr>
            </w:pPr>
          </w:p>
        </w:tc>
        <w:tc>
          <w:tcPr>
            <w:tcW w:w="2160" w:type="dxa"/>
            <w:tcBorders>
              <w:top w:val="nil"/>
              <w:left w:val="nil"/>
              <w:bottom w:val="single" w:sz="4" w:space="0" w:color="auto"/>
              <w:right w:val="single" w:sz="8" w:space="0" w:color="auto"/>
            </w:tcBorders>
            <w:tcMar>
              <w:top w:w="0" w:type="dxa"/>
              <w:left w:w="108" w:type="dxa"/>
              <w:bottom w:w="0" w:type="dxa"/>
              <w:right w:w="108" w:type="dxa"/>
            </w:tcMar>
          </w:tcPr>
          <w:p w14:paraId="4FEEE83C" w14:textId="77777777" w:rsidR="00A55AB4" w:rsidRPr="0074543A" w:rsidRDefault="00A55AB4" w:rsidP="000C20DB">
            <w:pPr>
              <w:spacing w:before="40" w:after="40" w:line="264" w:lineRule="auto"/>
              <w:ind w:left="-72" w:right="-144"/>
              <w:rPr>
                <w:rFonts w:ascii="Garamond" w:hAnsi="Garamond"/>
                <w:sz w:val="21"/>
                <w:szCs w:val="21"/>
              </w:rPr>
            </w:pPr>
            <w:r w:rsidRPr="0074543A">
              <w:rPr>
                <w:rFonts w:ascii="Garamond" w:hAnsi="Garamond"/>
                <w:sz w:val="21"/>
                <w:szCs w:val="21"/>
              </w:rPr>
              <w:t>7 Days for Standard</w:t>
            </w:r>
          </w:p>
        </w:tc>
        <w:tc>
          <w:tcPr>
            <w:tcW w:w="4590" w:type="dxa"/>
            <w:vMerge/>
            <w:tcBorders>
              <w:left w:val="nil"/>
              <w:bottom w:val="single" w:sz="4" w:space="0" w:color="auto"/>
              <w:right w:val="single" w:sz="8" w:space="0" w:color="auto"/>
            </w:tcBorders>
            <w:tcMar>
              <w:top w:w="0" w:type="dxa"/>
              <w:left w:w="108" w:type="dxa"/>
              <w:bottom w:w="0" w:type="dxa"/>
              <w:right w:w="108" w:type="dxa"/>
            </w:tcMar>
          </w:tcPr>
          <w:p w14:paraId="1B502F00" w14:textId="77777777" w:rsidR="00A55AB4" w:rsidRPr="0021170B" w:rsidRDefault="00A55AB4" w:rsidP="000C20DB">
            <w:pPr>
              <w:pStyle w:val="ListParagraph"/>
              <w:spacing w:beforeLines="40" w:before="96" w:after="40"/>
              <w:ind w:left="-15" w:firstLine="15"/>
              <w:rPr>
                <w:rFonts w:ascii="Garamond" w:hAnsi="Garamond"/>
                <w:bCs/>
                <w:sz w:val="20"/>
                <w:szCs w:val="20"/>
              </w:rPr>
            </w:pPr>
          </w:p>
        </w:tc>
      </w:tr>
      <w:tr w:rsidR="00A55AB4" w:rsidRPr="00A55AB4" w14:paraId="05FBBC4F" w14:textId="77777777" w:rsidTr="008819EE">
        <w:trPr>
          <w:trHeight w:val="307"/>
        </w:trPr>
        <w:tc>
          <w:tcPr>
            <w:tcW w:w="2060" w:type="dxa"/>
            <w:vMerge w:val="restart"/>
            <w:tcBorders>
              <w:top w:val="single" w:sz="4" w:space="0" w:color="auto"/>
              <w:left w:val="single" w:sz="8" w:space="0" w:color="auto"/>
              <w:right w:val="single" w:sz="8" w:space="0" w:color="auto"/>
            </w:tcBorders>
            <w:shd w:val="clear" w:color="auto" w:fill="auto"/>
            <w:tcMar>
              <w:top w:w="0" w:type="dxa"/>
              <w:left w:w="108" w:type="dxa"/>
              <w:bottom w:w="0" w:type="dxa"/>
              <w:right w:w="108" w:type="dxa"/>
            </w:tcMar>
          </w:tcPr>
          <w:p w14:paraId="07188672" w14:textId="77777777" w:rsidR="00A55AB4" w:rsidRPr="0074543A" w:rsidRDefault="00C0599A" w:rsidP="000C20DB">
            <w:pPr>
              <w:spacing w:before="40" w:line="264" w:lineRule="auto"/>
              <w:rPr>
                <w:rFonts w:ascii="Garamond" w:hAnsi="Garamond"/>
                <w:b/>
                <w:bCs/>
                <w:color w:val="208F44"/>
                <w:sz w:val="21"/>
                <w:szCs w:val="21"/>
              </w:rPr>
            </w:pPr>
            <w:r w:rsidRPr="0074543A">
              <w:rPr>
                <w:rFonts w:ascii="Garamond" w:hAnsi="Garamond"/>
                <w:b/>
                <w:bCs/>
                <w:color w:val="208F44"/>
                <w:sz w:val="21"/>
                <w:szCs w:val="21"/>
              </w:rPr>
              <w:t xml:space="preserve">INTEGRITY - </w:t>
            </w:r>
            <w:r w:rsidR="00A55AB4" w:rsidRPr="0074543A">
              <w:rPr>
                <w:rFonts w:ascii="Garamond" w:hAnsi="Garamond"/>
                <w:b/>
                <w:bCs/>
                <w:color w:val="208F44"/>
                <w:sz w:val="21"/>
                <w:szCs w:val="21"/>
              </w:rPr>
              <w:t>MMP Part D</w:t>
            </w:r>
          </w:p>
          <w:p w14:paraId="52EA6B80" w14:textId="77777777" w:rsidR="0074543A" w:rsidRPr="0074543A" w:rsidRDefault="00A55AB4" w:rsidP="000C20DB">
            <w:pPr>
              <w:spacing w:before="40" w:line="264" w:lineRule="auto"/>
              <w:rPr>
                <w:rFonts w:ascii="Garamond" w:hAnsi="Garamond"/>
                <w:bCs/>
                <w:color w:val="000000" w:themeColor="text1"/>
                <w:sz w:val="20"/>
                <w:szCs w:val="21"/>
              </w:rPr>
            </w:pPr>
            <w:r w:rsidRPr="0074543A">
              <w:rPr>
                <w:rFonts w:ascii="Garamond" w:hAnsi="Garamond"/>
                <w:bCs/>
                <w:color w:val="000000" w:themeColor="text1"/>
                <w:sz w:val="20"/>
                <w:szCs w:val="21"/>
              </w:rPr>
              <w:t>(</w:t>
            </w:r>
            <w:proofErr w:type="gramStart"/>
            <w:r w:rsidRPr="0074543A">
              <w:rPr>
                <w:rFonts w:ascii="Garamond" w:hAnsi="Garamond"/>
                <w:bCs/>
                <w:color w:val="000000" w:themeColor="text1"/>
                <w:sz w:val="20"/>
                <w:szCs w:val="21"/>
              </w:rPr>
              <w:t>Handled</w:t>
            </w:r>
            <w:proofErr w:type="gramEnd"/>
            <w:r w:rsidRPr="0074543A">
              <w:rPr>
                <w:rFonts w:ascii="Garamond" w:hAnsi="Garamond"/>
                <w:bCs/>
                <w:color w:val="000000" w:themeColor="text1"/>
                <w:sz w:val="20"/>
                <w:szCs w:val="21"/>
              </w:rPr>
              <w:t xml:space="preserve"> by </w:t>
            </w:r>
          </w:p>
          <w:p w14:paraId="062AEE29" w14:textId="77777777" w:rsidR="00A55AB4" w:rsidRPr="0074543A" w:rsidRDefault="00A55AB4" w:rsidP="000C20DB">
            <w:pPr>
              <w:spacing w:before="40" w:line="264" w:lineRule="auto"/>
              <w:rPr>
                <w:rFonts w:ascii="Garamond" w:hAnsi="Garamond"/>
                <w:bCs/>
                <w:color w:val="208F44"/>
                <w:sz w:val="21"/>
                <w:szCs w:val="21"/>
              </w:rPr>
            </w:pPr>
            <w:r w:rsidRPr="0074543A">
              <w:rPr>
                <w:rFonts w:ascii="Garamond" w:hAnsi="Garamond"/>
                <w:bCs/>
                <w:color w:val="000000" w:themeColor="text1"/>
                <w:sz w:val="20"/>
                <w:szCs w:val="21"/>
              </w:rPr>
              <w:t>CVS Caremark)</w:t>
            </w:r>
          </w:p>
        </w:tc>
        <w:tc>
          <w:tcPr>
            <w:tcW w:w="1980" w:type="dxa"/>
            <w:vMerge w:val="restart"/>
            <w:tcBorders>
              <w:top w:val="single" w:sz="4" w:space="0" w:color="auto"/>
              <w:left w:val="nil"/>
              <w:right w:val="single" w:sz="8" w:space="0" w:color="auto"/>
            </w:tcBorders>
            <w:tcMar>
              <w:top w:w="0" w:type="dxa"/>
              <w:left w:w="108" w:type="dxa"/>
              <w:bottom w:w="0" w:type="dxa"/>
              <w:right w:w="108" w:type="dxa"/>
            </w:tcMar>
          </w:tcPr>
          <w:p w14:paraId="37FF5A82" w14:textId="77777777" w:rsidR="00A55AB4" w:rsidRPr="000B4CC6" w:rsidRDefault="00A55AB4" w:rsidP="000C20DB">
            <w:pPr>
              <w:spacing w:before="40" w:line="264" w:lineRule="auto"/>
              <w:rPr>
                <w:rFonts w:ascii="Garamond" w:hAnsi="Garamond"/>
                <w:sz w:val="20"/>
                <w:szCs w:val="20"/>
              </w:rPr>
            </w:pPr>
            <w:r w:rsidRPr="000B4CC6">
              <w:rPr>
                <w:rFonts w:ascii="Garamond" w:hAnsi="Garamond"/>
                <w:sz w:val="20"/>
                <w:szCs w:val="20"/>
              </w:rPr>
              <w:t>60 Calendar Days from Initial Decision</w:t>
            </w:r>
          </w:p>
        </w:tc>
        <w:tc>
          <w:tcPr>
            <w:tcW w:w="216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A400F3B" w14:textId="77777777" w:rsidR="00A55AB4" w:rsidRPr="0074543A" w:rsidRDefault="00A55AB4" w:rsidP="000C20DB">
            <w:pPr>
              <w:spacing w:before="40" w:after="40" w:line="264" w:lineRule="auto"/>
              <w:ind w:left="-72" w:right="-144"/>
              <w:rPr>
                <w:rFonts w:ascii="Garamond" w:hAnsi="Garamond"/>
                <w:sz w:val="21"/>
                <w:szCs w:val="21"/>
              </w:rPr>
            </w:pPr>
            <w:r w:rsidRPr="0074543A">
              <w:rPr>
                <w:rFonts w:ascii="Garamond" w:hAnsi="Garamond"/>
                <w:sz w:val="21"/>
                <w:szCs w:val="21"/>
              </w:rPr>
              <w:t>72 Hours for Expedited</w:t>
            </w:r>
          </w:p>
        </w:tc>
        <w:tc>
          <w:tcPr>
            <w:tcW w:w="4590" w:type="dxa"/>
            <w:vMerge w:val="restart"/>
            <w:tcBorders>
              <w:top w:val="single" w:sz="4" w:space="0" w:color="auto"/>
              <w:left w:val="nil"/>
              <w:right w:val="single" w:sz="8" w:space="0" w:color="auto"/>
            </w:tcBorders>
            <w:tcMar>
              <w:top w:w="0" w:type="dxa"/>
              <w:left w:w="108" w:type="dxa"/>
              <w:bottom w:w="0" w:type="dxa"/>
              <w:right w:w="108" w:type="dxa"/>
            </w:tcMar>
          </w:tcPr>
          <w:p w14:paraId="66953AC0" w14:textId="77777777" w:rsidR="00A55AB4" w:rsidRPr="0021170B" w:rsidRDefault="00A55AB4" w:rsidP="000C20DB">
            <w:pPr>
              <w:pStyle w:val="ListParagraph"/>
              <w:numPr>
                <w:ilvl w:val="0"/>
                <w:numId w:val="3"/>
              </w:numPr>
              <w:spacing w:before="40" w:after="40"/>
              <w:ind w:left="201" w:hanging="187"/>
              <w:rPr>
                <w:rFonts w:ascii="Garamond" w:hAnsi="Garamond"/>
                <w:color w:val="000000" w:themeColor="text1"/>
                <w:sz w:val="20"/>
                <w:szCs w:val="20"/>
              </w:rPr>
            </w:pPr>
            <w:r w:rsidRPr="0021170B">
              <w:rPr>
                <w:rFonts w:ascii="Garamond" w:hAnsi="Garamond"/>
                <w:color w:val="000000" w:themeColor="text1"/>
                <w:sz w:val="20"/>
                <w:szCs w:val="20"/>
              </w:rPr>
              <w:t xml:space="preserve">Member or Provider must request External Appeal directly with MAXIMUS within 60 Calendar Days of Appeal Denial Letter </w:t>
            </w:r>
          </w:p>
        </w:tc>
      </w:tr>
      <w:tr w:rsidR="00A55AB4" w:rsidRPr="00A55AB4" w14:paraId="3A8BA16B" w14:textId="77777777" w:rsidTr="008819EE">
        <w:trPr>
          <w:trHeight w:val="306"/>
        </w:trPr>
        <w:tc>
          <w:tcPr>
            <w:tcW w:w="2060" w:type="dxa"/>
            <w:vMerge/>
            <w:tcBorders>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14:paraId="2573CD09" w14:textId="77777777" w:rsidR="00A55AB4" w:rsidRPr="0074543A" w:rsidRDefault="00A55AB4" w:rsidP="000C20DB">
            <w:pPr>
              <w:spacing w:before="40" w:line="264" w:lineRule="auto"/>
              <w:rPr>
                <w:rFonts w:ascii="Garamond" w:hAnsi="Garamond"/>
                <w:b/>
                <w:bCs/>
                <w:color w:val="208F44"/>
                <w:sz w:val="21"/>
                <w:szCs w:val="21"/>
              </w:rPr>
            </w:pPr>
          </w:p>
        </w:tc>
        <w:tc>
          <w:tcPr>
            <w:tcW w:w="1980" w:type="dxa"/>
            <w:vMerge/>
            <w:tcBorders>
              <w:left w:val="nil"/>
              <w:bottom w:val="single" w:sz="4" w:space="0" w:color="auto"/>
              <w:right w:val="single" w:sz="8" w:space="0" w:color="auto"/>
            </w:tcBorders>
            <w:tcMar>
              <w:top w:w="0" w:type="dxa"/>
              <w:left w:w="108" w:type="dxa"/>
              <w:bottom w:w="0" w:type="dxa"/>
              <w:right w:w="108" w:type="dxa"/>
            </w:tcMar>
          </w:tcPr>
          <w:p w14:paraId="668D9DCC" w14:textId="77777777" w:rsidR="00A55AB4" w:rsidRPr="000B4CC6" w:rsidRDefault="00A55AB4" w:rsidP="000C20DB">
            <w:pPr>
              <w:spacing w:before="40" w:line="264" w:lineRule="auto"/>
              <w:rPr>
                <w:rFonts w:ascii="Garamond" w:hAnsi="Garamond"/>
                <w:sz w:val="20"/>
                <w:szCs w:val="20"/>
              </w:rPr>
            </w:pPr>
          </w:p>
        </w:tc>
        <w:tc>
          <w:tcPr>
            <w:tcW w:w="216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EB788B" w14:textId="77777777" w:rsidR="00A55AB4" w:rsidRPr="0074543A" w:rsidRDefault="00A55AB4" w:rsidP="000C20DB">
            <w:pPr>
              <w:spacing w:before="40" w:after="40" w:line="264" w:lineRule="auto"/>
              <w:ind w:left="-72" w:right="-144"/>
              <w:rPr>
                <w:rFonts w:ascii="Garamond" w:hAnsi="Garamond"/>
                <w:sz w:val="21"/>
                <w:szCs w:val="21"/>
              </w:rPr>
            </w:pPr>
            <w:r w:rsidRPr="0074543A">
              <w:rPr>
                <w:rFonts w:ascii="Garamond" w:hAnsi="Garamond"/>
                <w:sz w:val="21"/>
                <w:szCs w:val="21"/>
              </w:rPr>
              <w:t>7 Days for Standard</w:t>
            </w:r>
          </w:p>
        </w:tc>
        <w:tc>
          <w:tcPr>
            <w:tcW w:w="4590" w:type="dxa"/>
            <w:vMerge/>
            <w:tcBorders>
              <w:left w:val="nil"/>
              <w:bottom w:val="single" w:sz="4" w:space="0" w:color="auto"/>
              <w:right w:val="single" w:sz="8" w:space="0" w:color="auto"/>
            </w:tcBorders>
            <w:tcMar>
              <w:top w:w="0" w:type="dxa"/>
              <w:left w:w="108" w:type="dxa"/>
              <w:bottom w:w="0" w:type="dxa"/>
              <w:right w:w="108" w:type="dxa"/>
            </w:tcMar>
          </w:tcPr>
          <w:p w14:paraId="217C59BE" w14:textId="77777777" w:rsidR="00A55AB4" w:rsidRPr="0021170B" w:rsidRDefault="00A55AB4" w:rsidP="000C20DB">
            <w:pPr>
              <w:pStyle w:val="ListParagraph"/>
              <w:spacing w:beforeLines="40" w:before="96" w:after="40"/>
              <w:ind w:left="-15" w:firstLine="15"/>
              <w:rPr>
                <w:rFonts w:ascii="Garamond" w:hAnsi="Garamond"/>
                <w:bCs/>
                <w:sz w:val="20"/>
                <w:szCs w:val="20"/>
              </w:rPr>
            </w:pPr>
          </w:p>
        </w:tc>
      </w:tr>
      <w:tr w:rsidR="00A55AB4" w:rsidRPr="00A55AB4" w14:paraId="6306AE8E" w14:textId="77777777" w:rsidTr="008819EE">
        <w:trPr>
          <w:trHeight w:val="193"/>
        </w:trPr>
        <w:tc>
          <w:tcPr>
            <w:tcW w:w="2060"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14:paraId="19BC6615" w14:textId="39128661" w:rsidR="00A55AB4" w:rsidRPr="0074543A" w:rsidRDefault="00A55AB4" w:rsidP="000C20DB">
            <w:pPr>
              <w:spacing w:before="40" w:after="40" w:line="264" w:lineRule="auto"/>
              <w:rPr>
                <w:rFonts w:ascii="Garamond" w:hAnsi="Garamond"/>
                <w:b/>
                <w:bCs/>
                <w:color w:val="208F44"/>
                <w:sz w:val="21"/>
                <w:szCs w:val="21"/>
              </w:rPr>
            </w:pPr>
            <w:r w:rsidRPr="0074543A">
              <w:rPr>
                <w:rFonts w:ascii="Garamond" w:hAnsi="Garamond"/>
                <w:b/>
                <w:bCs/>
                <w:color w:val="208F44"/>
                <w:sz w:val="21"/>
                <w:szCs w:val="21"/>
              </w:rPr>
              <w:t>Provider</w:t>
            </w:r>
            <w:r w:rsidR="000B4CC6">
              <w:rPr>
                <w:rFonts w:ascii="Garamond" w:hAnsi="Garamond"/>
                <w:b/>
                <w:bCs/>
                <w:color w:val="208F44"/>
                <w:sz w:val="21"/>
                <w:szCs w:val="21"/>
              </w:rPr>
              <w:t xml:space="preserve"> Administrative</w:t>
            </w:r>
            <w:r w:rsidRPr="0074543A">
              <w:rPr>
                <w:rFonts w:ascii="Garamond" w:hAnsi="Garamond"/>
                <w:b/>
                <w:bCs/>
                <w:color w:val="208F44"/>
                <w:sz w:val="21"/>
                <w:szCs w:val="21"/>
              </w:rPr>
              <w:t xml:space="preserve"> Claim </w:t>
            </w:r>
            <w:r w:rsidR="000B4CC6">
              <w:rPr>
                <w:rFonts w:ascii="Garamond" w:hAnsi="Garamond"/>
                <w:b/>
                <w:bCs/>
                <w:color w:val="208F44"/>
                <w:sz w:val="21"/>
                <w:szCs w:val="21"/>
              </w:rPr>
              <w:t>Appeals</w:t>
            </w:r>
          </w:p>
        </w:tc>
        <w:tc>
          <w:tcPr>
            <w:tcW w:w="198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BA4EFCB" w14:textId="56A1B7E1" w:rsidR="00676C6B" w:rsidRPr="000B4CC6" w:rsidRDefault="00A55AB4" w:rsidP="001F3D86">
            <w:pPr>
              <w:spacing w:line="264" w:lineRule="auto"/>
              <w:rPr>
                <w:rFonts w:ascii="Garamond" w:hAnsi="Garamond"/>
                <w:color w:val="000000" w:themeColor="text1"/>
                <w:sz w:val="20"/>
                <w:szCs w:val="20"/>
              </w:rPr>
            </w:pPr>
            <w:r w:rsidRPr="000B4CC6">
              <w:rPr>
                <w:rFonts w:ascii="Garamond" w:hAnsi="Garamond"/>
                <w:color w:val="000000" w:themeColor="text1"/>
                <w:sz w:val="20"/>
                <w:szCs w:val="20"/>
              </w:rPr>
              <w:t>60 Calendar Days from the date of</w:t>
            </w:r>
            <w:r w:rsidR="000B4CC6" w:rsidRPr="000B4CC6">
              <w:rPr>
                <w:rFonts w:ascii="Garamond" w:hAnsi="Garamond"/>
                <w:color w:val="000000" w:themeColor="text1"/>
                <w:sz w:val="20"/>
                <w:szCs w:val="20"/>
              </w:rPr>
              <w:t xml:space="preserve"> Denied</w:t>
            </w:r>
            <w:r w:rsidRPr="000B4CC6">
              <w:rPr>
                <w:rFonts w:ascii="Garamond" w:hAnsi="Garamond"/>
                <w:color w:val="000000" w:themeColor="text1"/>
                <w:sz w:val="20"/>
                <w:szCs w:val="20"/>
              </w:rPr>
              <w:t xml:space="preserve"> </w:t>
            </w:r>
            <w:r w:rsidR="00676C6B" w:rsidRPr="000B4CC6">
              <w:rPr>
                <w:rFonts w:ascii="Garamond" w:hAnsi="Garamond"/>
                <w:color w:val="000000" w:themeColor="text1"/>
                <w:sz w:val="20"/>
                <w:szCs w:val="20"/>
              </w:rPr>
              <w:t>Reconsideration</w:t>
            </w:r>
            <w:r w:rsidR="003B63F9" w:rsidRPr="000B4CC6">
              <w:rPr>
                <w:rFonts w:ascii="Garamond" w:hAnsi="Garamond"/>
                <w:color w:val="000000" w:themeColor="text1"/>
                <w:sz w:val="20"/>
                <w:szCs w:val="20"/>
              </w:rPr>
              <w:t>/</w:t>
            </w:r>
          </w:p>
          <w:p w14:paraId="3190397B" w14:textId="7818283E" w:rsidR="00A55AB4" w:rsidRPr="000B4CC6" w:rsidRDefault="000B4CC6" w:rsidP="001F3D86">
            <w:pPr>
              <w:spacing w:line="264" w:lineRule="auto"/>
              <w:rPr>
                <w:rFonts w:ascii="Garamond" w:hAnsi="Garamond"/>
                <w:color w:val="000000" w:themeColor="text1"/>
                <w:sz w:val="20"/>
                <w:szCs w:val="20"/>
              </w:rPr>
            </w:pPr>
            <w:r w:rsidRPr="000B4CC6">
              <w:rPr>
                <w:rFonts w:ascii="Garamond" w:hAnsi="Garamond"/>
                <w:color w:val="000000" w:themeColor="text1"/>
                <w:sz w:val="20"/>
                <w:szCs w:val="20"/>
              </w:rPr>
              <w:t xml:space="preserve">Denied </w:t>
            </w:r>
            <w:r w:rsidR="00676C6B" w:rsidRPr="000B4CC6">
              <w:rPr>
                <w:rFonts w:ascii="Garamond" w:hAnsi="Garamond"/>
                <w:color w:val="000000" w:themeColor="text1"/>
                <w:sz w:val="20"/>
                <w:szCs w:val="20"/>
              </w:rPr>
              <w:t xml:space="preserve">Adjustment / </w:t>
            </w:r>
            <w:r w:rsidRPr="000B4CC6">
              <w:rPr>
                <w:rFonts w:ascii="Garamond" w:hAnsi="Garamond"/>
                <w:color w:val="000000" w:themeColor="text1"/>
                <w:sz w:val="20"/>
                <w:szCs w:val="20"/>
              </w:rPr>
              <w:t>Denied Claim for No Authorization</w:t>
            </w:r>
            <w:r w:rsidR="008819EE" w:rsidRPr="000B4CC6">
              <w:rPr>
                <w:rStyle w:val="EndnoteReference"/>
                <w:rFonts w:ascii="Garamond" w:hAnsi="Garamond"/>
                <w:color w:val="000000" w:themeColor="text1"/>
                <w:sz w:val="20"/>
                <w:szCs w:val="20"/>
              </w:rPr>
              <w:endnoteReference w:id="2"/>
            </w:r>
          </w:p>
        </w:tc>
        <w:tc>
          <w:tcPr>
            <w:tcW w:w="216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4F9EB8B" w14:textId="14DE1A9D" w:rsidR="00A55AB4" w:rsidRPr="0074543A" w:rsidRDefault="00A55AB4" w:rsidP="000C20DB">
            <w:pPr>
              <w:spacing w:before="40" w:after="40" w:line="264" w:lineRule="auto"/>
              <w:ind w:left="-72" w:right="-144"/>
              <w:rPr>
                <w:rFonts w:ascii="Garamond" w:hAnsi="Garamond"/>
                <w:sz w:val="21"/>
                <w:szCs w:val="21"/>
              </w:rPr>
            </w:pPr>
            <w:r w:rsidRPr="0074543A">
              <w:rPr>
                <w:rFonts w:ascii="Garamond" w:hAnsi="Garamond"/>
                <w:color w:val="000000" w:themeColor="text1"/>
                <w:sz w:val="21"/>
                <w:szCs w:val="21"/>
              </w:rPr>
              <w:t xml:space="preserve">60 Calendar Days  </w:t>
            </w:r>
          </w:p>
        </w:tc>
        <w:tc>
          <w:tcPr>
            <w:tcW w:w="459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2CDEE65" w14:textId="77777777" w:rsidR="00A55AB4" w:rsidRPr="0021170B" w:rsidRDefault="00A55AB4" w:rsidP="000C20DB">
            <w:pPr>
              <w:pStyle w:val="ListParagraph"/>
              <w:numPr>
                <w:ilvl w:val="0"/>
                <w:numId w:val="3"/>
              </w:numPr>
              <w:spacing w:beforeLines="40" w:before="96" w:after="40"/>
              <w:ind w:left="201" w:hanging="187"/>
              <w:rPr>
                <w:rFonts w:ascii="Garamond" w:hAnsi="Garamond"/>
                <w:b/>
                <w:bCs/>
                <w:i/>
                <w:sz w:val="20"/>
                <w:szCs w:val="20"/>
              </w:rPr>
            </w:pPr>
            <w:r w:rsidRPr="0021170B">
              <w:rPr>
                <w:rFonts w:ascii="Garamond" w:hAnsi="Garamond"/>
                <w:color w:val="000000" w:themeColor="text1"/>
                <w:sz w:val="20"/>
                <w:szCs w:val="20"/>
              </w:rPr>
              <w:t>No external appeal level available</w:t>
            </w:r>
          </w:p>
          <w:p w14:paraId="313F4354" w14:textId="77777777" w:rsidR="00A55AB4" w:rsidRPr="0021170B" w:rsidRDefault="00A55AB4" w:rsidP="000C20DB">
            <w:pPr>
              <w:pStyle w:val="ListParagraph"/>
              <w:spacing w:beforeLines="40" w:before="96" w:after="40"/>
              <w:ind w:left="201"/>
              <w:rPr>
                <w:rFonts w:ascii="Garamond" w:hAnsi="Garamond"/>
                <w:b/>
                <w:bCs/>
                <w:sz w:val="20"/>
                <w:szCs w:val="20"/>
              </w:rPr>
            </w:pPr>
          </w:p>
        </w:tc>
      </w:tr>
      <w:tr w:rsidR="008819EE" w:rsidRPr="00A55AB4" w14:paraId="09A1D0D0" w14:textId="77777777" w:rsidTr="008819EE">
        <w:trPr>
          <w:trHeight w:val="193"/>
        </w:trPr>
        <w:tc>
          <w:tcPr>
            <w:tcW w:w="10790" w:type="dxa"/>
            <w:gridSpan w:val="4"/>
            <w:tcBorders>
              <w:top w:val="single" w:sz="4" w:space="0" w:color="auto"/>
              <w:left w:val="single" w:sz="8" w:space="0" w:color="auto"/>
              <w:bottom w:val="single" w:sz="4" w:space="0" w:color="auto"/>
              <w:right w:val="single" w:sz="8" w:space="0" w:color="auto"/>
            </w:tcBorders>
            <w:shd w:val="clear" w:color="auto" w:fill="C5E0B3" w:themeFill="accent6" w:themeFillTint="66"/>
            <w:tcMar>
              <w:top w:w="0" w:type="dxa"/>
              <w:left w:w="108" w:type="dxa"/>
              <w:bottom w:w="0" w:type="dxa"/>
              <w:right w:w="108" w:type="dxa"/>
            </w:tcMar>
          </w:tcPr>
          <w:p w14:paraId="1263618B" w14:textId="77777777" w:rsidR="008819EE" w:rsidRPr="008819EE" w:rsidRDefault="008819EE" w:rsidP="008819EE">
            <w:pPr>
              <w:pStyle w:val="Footer"/>
              <w:spacing w:before="40" w:after="40" w:line="240" w:lineRule="auto"/>
              <w:ind w:right="-144"/>
              <w:rPr>
                <w:rFonts w:ascii="Garamond" w:hAnsi="Garamond"/>
                <w:i/>
                <w:sz w:val="23"/>
                <w:szCs w:val="23"/>
              </w:rPr>
            </w:pPr>
            <w:r w:rsidRPr="008819EE">
              <w:rPr>
                <w:rFonts w:ascii="Garamond" w:hAnsi="Garamond"/>
                <w:i/>
                <w:sz w:val="23"/>
                <w:szCs w:val="23"/>
              </w:rPr>
              <w:t xml:space="preserve">All appeal filing deadlines, appeal levels, turnaround times, and external appeal review rules are compliant with applicable regulations and Neighborhood policy.  Absence of the required form(s) or no response to the requests sent by GAU will result in dismissal of appeal.  </w:t>
            </w:r>
          </w:p>
        </w:tc>
      </w:tr>
    </w:tbl>
    <w:p w14:paraId="1FD481B3" w14:textId="0BBAF6D8" w:rsidR="00E410E9" w:rsidRPr="00CE5D61" w:rsidRDefault="00E410E9" w:rsidP="00E410E9">
      <w:pPr>
        <w:rPr>
          <w:rFonts w:ascii="Garamond" w:hAnsi="Garamond"/>
          <w:sz w:val="6"/>
        </w:rPr>
      </w:pPr>
    </w:p>
    <w:p w14:paraId="3680641A" w14:textId="1CD941DE" w:rsidR="00D96BFA" w:rsidRPr="00531FF3" w:rsidRDefault="00E410E9" w:rsidP="008819EE">
      <w:pPr>
        <w:spacing w:before="120"/>
        <w:rPr>
          <w:rFonts w:ascii="Garamond" w:hAnsi="Garamond"/>
          <w:sz w:val="21"/>
          <w:szCs w:val="21"/>
        </w:rPr>
      </w:pPr>
      <w:r w:rsidRPr="000C20DB">
        <w:rPr>
          <w:rFonts w:ascii="Garamond" w:hAnsi="Garamond"/>
          <w:b/>
          <w:sz w:val="21"/>
          <w:szCs w:val="21"/>
        </w:rPr>
        <w:t>GAU Mailing Address:</w:t>
      </w:r>
      <w:r w:rsidRPr="00531FF3">
        <w:rPr>
          <w:rFonts w:ascii="Garamond" w:hAnsi="Garamond"/>
          <w:sz w:val="21"/>
          <w:szCs w:val="21"/>
        </w:rPr>
        <w:tab/>
      </w:r>
      <w:r w:rsidR="00152BEE" w:rsidRPr="00531FF3">
        <w:rPr>
          <w:rFonts w:ascii="Garamond" w:hAnsi="Garamond"/>
          <w:sz w:val="21"/>
          <w:szCs w:val="21"/>
        </w:rPr>
        <w:t xml:space="preserve">Grievance and Appeals </w:t>
      </w:r>
      <w:r w:rsidR="004F09CD">
        <w:rPr>
          <w:rFonts w:ascii="Garamond" w:hAnsi="Garamond"/>
          <w:sz w:val="21"/>
          <w:szCs w:val="21"/>
        </w:rPr>
        <w:t xml:space="preserve">Unit </w:t>
      </w:r>
      <w:r w:rsidR="00152BEE" w:rsidRPr="00531FF3">
        <w:rPr>
          <w:rFonts w:ascii="Garamond" w:hAnsi="Garamond"/>
          <w:sz w:val="21"/>
          <w:szCs w:val="21"/>
        </w:rPr>
        <w:t>Coordinator</w:t>
      </w:r>
      <w:r w:rsidR="0074543A">
        <w:rPr>
          <w:rFonts w:ascii="Garamond" w:hAnsi="Garamond"/>
          <w:sz w:val="21"/>
          <w:szCs w:val="21"/>
        </w:rPr>
        <w:t xml:space="preserve">              </w:t>
      </w:r>
      <w:r w:rsidR="0074543A" w:rsidRPr="000C20DB">
        <w:rPr>
          <w:rFonts w:ascii="Garamond" w:hAnsi="Garamond"/>
          <w:b/>
          <w:sz w:val="21"/>
          <w:szCs w:val="21"/>
        </w:rPr>
        <w:t>GAU Fax Number:</w:t>
      </w:r>
      <w:r w:rsidR="000C20DB">
        <w:rPr>
          <w:rFonts w:ascii="Garamond" w:hAnsi="Garamond"/>
          <w:sz w:val="21"/>
          <w:szCs w:val="21"/>
        </w:rPr>
        <w:t xml:space="preserve"> </w:t>
      </w:r>
      <w:r w:rsidR="0074543A">
        <w:rPr>
          <w:rFonts w:ascii="Garamond" w:hAnsi="Garamond"/>
          <w:sz w:val="21"/>
          <w:szCs w:val="21"/>
        </w:rPr>
        <w:t>(401) 709-7005</w:t>
      </w:r>
    </w:p>
    <w:p w14:paraId="768D1C7F" w14:textId="77777777" w:rsidR="00152BEE" w:rsidRPr="00531FF3" w:rsidRDefault="00152BEE" w:rsidP="00E410E9">
      <w:pPr>
        <w:ind w:left="1800" w:firstLine="360"/>
        <w:rPr>
          <w:rFonts w:ascii="Garamond" w:hAnsi="Garamond"/>
          <w:sz w:val="21"/>
          <w:szCs w:val="21"/>
        </w:rPr>
      </w:pPr>
      <w:r w:rsidRPr="00531FF3">
        <w:rPr>
          <w:rFonts w:ascii="Garamond" w:hAnsi="Garamond"/>
          <w:sz w:val="21"/>
          <w:szCs w:val="21"/>
        </w:rPr>
        <w:t>Neighborhood Health Plan of Rhode Island</w:t>
      </w:r>
      <w:r w:rsidR="00D96BFA">
        <w:rPr>
          <w:rFonts w:ascii="Garamond" w:hAnsi="Garamond"/>
          <w:sz w:val="21"/>
          <w:szCs w:val="21"/>
        </w:rPr>
        <w:t xml:space="preserve">          </w:t>
      </w:r>
      <w:r w:rsidR="00D96BFA" w:rsidRPr="000C20DB">
        <w:rPr>
          <w:rFonts w:ascii="Garamond" w:hAnsi="Garamond"/>
          <w:b/>
          <w:sz w:val="21"/>
          <w:szCs w:val="21"/>
        </w:rPr>
        <w:t xml:space="preserve">GAU </w:t>
      </w:r>
      <w:r w:rsidR="00D96BFA">
        <w:rPr>
          <w:rFonts w:ascii="Garamond" w:hAnsi="Garamond"/>
          <w:b/>
          <w:sz w:val="21"/>
          <w:szCs w:val="21"/>
        </w:rPr>
        <w:t>Email</w:t>
      </w:r>
      <w:r w:rsidR="00D96BFA" w:rsidRPr="000C20DB">
        <w:rPr>
          <w:rFonts w:ascii="Garamond" w:hAnsi="Garamond"/>
          <w:b/>
          <w:sz w:val="21"/>
          <w:szCs w:val="21"/>
        </w:rPr>
        <w:t>:</w:t>
      </w:r>
      <w:r w:rsidR="00D96BFA">
        <w:rPr>
          <w:rFonts w:ascii="Garamond" w:hAnsi="Garamond"/>
          <w:sz w:val="21"/>
          <w:szCs w:val="21"/>
        </w:rPr>
        <w:t xml:space="preserve"> </w:t>
      </w:r>
      <w:hyperlink r:id="rId13" w:history="1">
        <w:r w:rsidR="00D96BFA" w:rsidRPr="00E57F49">
          <w:rPr>
            <w:rStyle w:val="Hyperlink"/>
            <w:rFonts w:ascii="Garamond" w:hAnsi="Garamond"/>
            <w:sz w:val="21"/>
            <w:szCs w:val="21"/>
          </w:rPr>
          <w:t>GAUMailbox@nhpri.org</w:t>
        </w:r>
      </w:hyperlink>
      <w:r w:rsidR="00D96BFA">
        <w:rPr>
          <w:rFonts w:ascii="Garamond" w:hAnsi="Garamond"/>
          <w:sz w:val="21"/>
          <w:szCs w:val="21"/>
        </w:rPr>
        <w:t xml:space="preserve"> </w:t>
      </w:r>
    </w:p>
    <w:p w14:paraId="1E8B3949" w14:textId="77777777" w:rsidR="000A091A" w:rsidRDefault="00152BEE" w:rsidP="00676C6B">
      <w:pPr>
        <w:ind w:left="1440" w:firstLine="720"/>
        <w:rPr>
          <w:rFonts w:ascii="Garamond" w:hAnsi="Garamond"/>
          <w:sz w:val="21"/>
          <w:szCs w:val="21"/>
        </w:rPr>
      </w:pPr>
      <w:r w:rsidRPr="00531FF3">
        <w:rPr>
          <w:rFonts w:ascii="Garamond" w:hAnsi="Garamond"/>
          <w:sz w:val="21"/>
          <w:szCs w:val="21"/>
        </w:rPr>
        <w:t>910 Douglas Pike</w:t>
      </w:r>
      <w:r w:rsidR="00676C6B">
        <w:rPr>
          <w:rFonts w:ascii="Garamond" w:hAnsi="Garamond"/>
          <w:sz w:val="21"/>
          <w:szCs w:val="21"/>
        </w:rPr>
        <w:t xml:space="preserve"> - </w:t>
      </w:r>
      <w:r w:rsidRPr="00531FF3">
        <w:rPr>
          <w:rFonts w:ascii="Garamond" w:hAnsi="Garamond"/>
          <w:sz w:val="21"/>
          <w:szCs w:val="21"/>
        </w:rPr>
        <w:t>Smithfield, RI 02917</w:t>
      </w:r>
    </w:p>
    <w:p w14:paraId="3AD5D02B" w14:textId="1F515B02" w:rsidR="000B4CC6" w:rsidRPr="000B4CC6" w:rsidRDefault="00A641E6" w:rsidP="000B4CC6">
      <w:pPr>
        <w:spacing w:before="120"/>
        <w:ind w:left="-432" w:firstLine="360"/>
        <w:rPr>
          <w:rFonts w:ascii="Garamond" w:hAnsi="Garamond"/>
          <w:i/>
          <w:sz w:val="21"/>
          <w:szCs w:val="21"/>
        </w:rPr>
      </w:pPr>
      <w:r>
        <w:rPr>
          <w:rFonts w:ascii="Garamond" w:hAnsi="Garamond"/>
          <w:noProof/>
          <w:sz w:val="21"/>
          <w:szCs w:val="21"/>
        </w:rPr>
        <mc:AlternateContent>
          <mc:Choice Requires="wps">
            <w:drawing>
              <wp:anchor distT="0" distB="0" distL="114300" distR="114300" simplePos="0" relativeHeight="251661312" behindDoc="0" locked="0" layoutInCell="1" allowOverlap="1" wp14:anchorId="660202B8" wp14:editId="19ECEA17">
                <wp:simplePos x="0" y="0"/>
                <wp:positionH relativeFrom="margin">
                  <wp:posOffset>5393690</wp:posOffset>
                </wp:positionH>
                <wp:positionV relativeFrom="paragraph">
                  <wp:posOffset>85090</wp:posOffset>
                </wp:positionV>
                <wp:extent cx="1793630" cy="302455"/>
                <wp:effectExtent l="0" t="0" r="0" b="2540"/>
                <wp:wrapNone/>
                <wp:docPr id="4" name="Text Box 4"/>
                <wp:cNvGraphicFramePr/>
                <a:graphic xmlns:a="http://schemas.openxmlformats.org/drawingml/2006/main">
                  <a:graphicData uri="http://schemas.microsoft.com/office/word/2010/wordprocessingShape">
                    <wps:wsp>
                      <wps:cNvSpPr txBox="1"/>
                      <wps:spPr>
                        <a:xfrm>
                          <a:off x="0" y="0"/>
                          <a:ext cx="1793630" cy="302455"/>
                        </a:xfrm>
                        <a:prstGeom prst="rect">
                          <a:avLst/>
                        </a:prstGeom>
                        <a:solidFill>
                          <a:schemeClr val="lt1"/>
                        </a:solidFill>
                        <a:ln w="6350">
                          <a:noFill/>
                        </a:ln>
                      </wps:spPr>
                      <wps:txbx>
                        <w:txbxContent>
                          <w:p w14:paraId="092B65BC" w14:textId="0D7FDEDD" w:rsidR="00A641E6" w:rsidRPr="00A641E6" w:rsidRDefault="00A641E6">
                            <w:pPr>
                              <w:rPr>
                                <w:rFonts w:ascii="Garamond" w:hAnsi="Garamond"/>
                                <w:sz w:val="18"/>
                              </w:rPr>
                            </w:pPr>
                            <w:r w:rsidRPr="00A641E6">
                              <w:rPr>
                                <w:rFonts w:ascii="Garamond" w:hAnsi="Garamond"/>
                                <w:i/>
                                <w:sz w:val="20"/>
                              </w:rPr>
                              <w:t xml:space="preserve">Updated </w:t>
                            </w:r>
                            <w:r w:rsidR="00444319">
                              <w:rPr>
                                <w:rFonts w:ascii="Garamond" w:hAnsi="Garamond"/>
                                <w:i/>
                                <w:sz w:val="20"/>
                              </w:rPr>
                              <w:t>3.3.24</w:t>
                            </w:r>
                            <w:r w:rsidRPr="00A641E6">
                              <w:rPr>
                                <w:rFonts w:ascii="Garamond" w:hAnsi="Garamond"/>
                                <w:sz w:val="20"/>
                              </w:rPr>
                              <w:t xml:space="preserve"> </w:t>
                            </w:r>
                            <w:r>
                              <w:rPr>
                                <w:rFonts w:ascii="Garamond" w:hAnsi="Garamond"/>
                                <w:sz w:val="18"/>
                              </w:rPr>
                              <w:t xml:space="preserve">- </w:t>
                            </w:r>
                            <w:r w:rsidRPr="00A641E6">
                              <w:rPr>
                                <w:rFonts w:ascii="Garamond" w:hAnsi="Garamond"/>
                                <w:b/>
                                <w:sz w:val="18"/>
                              </w:rPr>
                              <w:t>Page 1 of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202B8" id="Text Box 4" o:spid="_x0000_s1028" type="#_x0000_t202" style="position:absolute;left:0;text-align:left;margin-left:424.7pt;margin-top:6.7pt;width:141.25pt;height:23.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" fillcolor="white [3201]" stroked="f" strokeweight=".5pt">
                <v:textbox>
                  <w:txbxContent>
                    <w:p w14:paraId="092B65BC" w14:textId="0D7FDEDD" w:rsidR="00A641E6" w:rsidRPr="00A641E6" w:rsidRDefault="00A641E6">
                      <w:pPr>
                        <w:rPr>
                          <w:rFonts w:ascii="Garamond" w:hAnsi="Garamond"/>
                          <w:sz w:val="18"/>
                        </w:rPr>
                      </w:pPr>
                      <w:r w:rsidRPr="00A641E6">
                        <w:rPr>
                          <w:rFonts w:ascii="Garamond" w:hAnsi="Garamond"/>
                          <w:i/>
                          <w:sz w:val="20"/>
                        </w:rPr>
                        <w:t xml:space="preserve">Updated </w:t>
                      </w:r>
                      <w:r w:rsidR="00444319">
                        <w:rPr>
                          <w:rFonts w:ascii="Garamond" w:hAnsi="Garamond"/>
                          <w:i/>
                          <w:sz w:val="20"/>
                        </w:rPr>
                        <w:t>3.3.24</w:t>
                      </w:r>
                      <w:r w:rsidRPr="00A641E6">
                        <w:rPr>
                          <w:rFonts w:ascii="Garamond" w:hAnsi="Garamond"/>
                          <w:sz w:val="20"/>
                        </w:rPr>
                        <w:t xml:space="preserve"> </w:t>
                      </w:r>
                      <w:r>
                        <w:rPr>
                          <w:rFonts w:ascii="Garamond" w:hAnsi="Garamond"/>
                          <w:sz w:val="18"/>
                        </w:rPr>
                        <w:t xml:space="preserve">- </w:t>
                      </w:r>
                      <w:r w:rsidRPr="00A641E6">
                        <w:rPr>
                          <w:rFonts w:ascii="Garamond" w:hAnsi="Garamond"/>
                          <w:b/>
                          <w:sz w:val="18"/>
                        </w:rPr>
                        <w:t>Page 1 of 1</w:t>
                      </w:r>
                    </w:p>
                  </w:txbxContent>
                </v:textbox>
                <w10:wrap anchorx="margin"/>
              </v:shape>
            </w:pict>
          </mc:Fallback>
        </mc:AlternateContent>
      </w:r>
      <w:r w:rsidR="00FD3598">
        <w:rPr>
          <w:rFonts w:ascii="Garamond" w:hAnsi="Garamond"/>
          <w:sz w:val="21"/>
          <w:szCs w:val="21"/>
        </w:rPr>
        <w:t>*</w:t>
      </w:r>
      <w:r w:rsidR="000B4CC6">
        <w:rPr>
          <w:rFonts w:ascii="Garamond" w:hAnsi="Garamond"/>
          <w:i/>
          <w:sz w:val="21"/>
          <w:szCs w:val="21"/>
        </w:rPr>
        <w:t>E</w:t>
      </w:r>
      <w:r w:rsidR="00FD3598" w:rsidRPr="00FD3598">
        <w:rPr>
          <w:rFonts w:ascii="Garamond" w:hAnsi="Garamond"/>
          <w:i/>
          <w:sz w:val="21"/>
          <w:szCs w:val="21"/>
        </w:rPr>
        <w:t xml:space="preserve">xternal Appeal process is only available when </w:t>
      </w:r>
      <w:r w:rsidR="00450684">
        <w:rPr>
          <w:rFonts w:ascii="Garamond" w:hAnsi="Garamond"/>
          <w:i/>
          <w:sz w:val="21"/>
          <w:szCs w:val="21"/>
        </w:rPr>
        <w:t xml:space="preserve">a clinical decision has </w:t>
      </w:r>
      <w:proofErr w:type="gramStart"/>
      <w:r w:rsidR="00450684">
        <w:rPr>
          <w:rFonts w:ascii="Garamond" w:hAnsi="Garamond"/>
          <w:i/>
          <w:sz w:val="21"/>
          <w:szCs w:val="21"/>
        </w:rPr>
        <w:t xml:space="preserve">been </w:t>
      </w:r>
      <w:r w:rsidR="00FD3598" w:rsidRPr="00FD3598">
        <w:rPr>
          <w:rFonts w:ascii="Garamond" w:hAnsi="Garamond"/>
          <w:i/>
          <w:sz w:val="21"/>
          <w:szCs w:val="21"/>
        </w:rPr>
        <w:t>rendered</w:t>
      </w:r>
      <w:proofErr w:type="gramEnd"/>
      <w:r w:rsidR="00FD3598" w:rsidRPr="00FD3598">
        <w:rPr>
          <w:rFonts w:ascii="Garamond" w:hAnsi="Garamond"/>
          <w:i/>
          <w:sz w:val="21"/>
          <w:szCs w:val="21"/>
        </w:rPr>
        <w:t xml:space="preserve"> on the Internal Appeal</w:t>
      </w:r>
    </w:p>
    <w:sectPr w:rsidR="000B4CC6" w:rsidRPr="000B4CC6" w:rsidSect="00D96BFA">
      <w:footerReference w:type="default" r:id="rId14"/>
      <w:pgSz w:w="12240" w:h="15840"/>
      <w:pgMar w:top="720" w:right="720" w:bottom="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F82BC" w14:textId="77777777" w:rsidR="009E74FA" w:rsidRDefault="009E74FA" w:rsidP="00884798">
      <w:r>
        <w:separator/>
      </w:r>
    </w:p>
  </w:endnote>
  <w:endnote w:type="continuationSeparator" w:id="0">
    <w:p w14:paraId="46288009" w14:textId="77777777" w:rsidR="009E74FA" w:rsidRDefault="009E74FA" w:rsidP="00884798">
      <w:r>
        <w:continuationSeparator/>
      </w:r>
    </w:p>
  </w:endnote>
  <w:endnote w:id="1">
    <w:p w14:paraId="773A8194" w14:textId="77777777" w:rsidR="008819EE" w:rsidRDefault="008819EE" w:rsidP="00676C6B">
      <w:pPr>
        <w:pStyle w:val="EndnoteText"/>
        <w:spacing w:before="100" w:beforeAutospacing="1" w:after="100" w:afterAutospacing="1"/>
        <w:contextualSpacing/>
      </w:pPr>
      <w:r>
        <w:rPr>
          <w:rStyle w:val="EndnoteReference"/>
        </w:rPr>
        <w:endnoteRef/>
      </w:r>
      <w:r>
        <w:t xml:space="preserve"> </w:t>
      </w:r>
      <w:r w:rsidRPr="009074F8">
        <w:rPr>
          <w:rFonts w:ascii="Garamond" w:hAnsi="Garamond"/>
          <w:sz w:val="18"/>
          <w:szCs w:val="18"/>
        </w:rPr>
        <w:t>When filing an appeal related to Level of Care</w:t>
      </w:r>
      <w:r>
        <w:rPr>
          <w:rFonts w:ascii="Garamond" w:hAnsi="Garamond"/>
          <w:sz w:val="18"/>
          <w:szCs w:val="18"/>
        </w:rPr>
        <w:t xml:space="preserve"> denials issued by </w:t>
      </w:r>
      <w:r w:rsidR="006B152C">
        <w:rPr>
          <w:rFonts w:ascii="Garamond" w:hAnsi="Garamond"/>
          <w:sz w:val="18"/>
          <w:szCs w:val="18"/>
        </w:rPr>
        <w:t xml:space="preserve">Neighborhood </w:t>
      </w:r>
      <w:r w:rsidR="00411274">
        <w:rPr>
          <w:rFonts w:ascii="Garamond" w:hAnsi="Garamond"/>
          <w:sz w:val="18"/>
          <w:szCs w:val="18"/>
        </w:rPr>
        <w:t xml:space="preserve">Utilization </w:t>
      </w:r>
      <w:r>
        <w:rPr>
          <w:rFonts w:ascii="Garamond" w:hAnsi="Garamond"/>
          <w:sz w:val="18"/>
          <w:szCs w:val="18"/>
        </w:rPr>
        <w:t>M</w:t>
      </w:r>
      <w:r w:rsidR="00411274">
        <w:rPr>
          <w:rFonts w:ascii="Garamond" w:hAnsi="Garamond"/>
          <w:sz w:val="18"/>
          <w:szCs w:val="18"/>
        </w:rPr>
        <w:t>anagement</w:t>
      </w:r>
      <w:r w:rsidRPr="009074F8">
        <w:rPr>
          <w:rFonts w:ascii="Garamond" w:hAnsi="Garamond"/>
          <w:sz w:val="18"/>
          <w:szCs w:val="18"/>
        </w:rPr>
        <w:t xml:space="preserve">, </w:t>
      </w:r>
      <w:r>
        <w:rPr>
          <w:rFonts w:ascii="Garamond" w:hAnsi="Garamond"/>
          <w:sz w:val="18"/>
          <w:szCs w:val="18"/>
        </w:rPr>
        <w:t xml:space="preserve">the provider / facility should </w:t>
      </w:r>
      <w:r w:rsidRPr="009074F8">
        <w:rPr>
          <w:rFonts w:ascii="Garamond" w:hAnsi="Garamond"/>
          <w:sz w:val="18"/>
          <w:szCs w:val="18"/>
        </w:rPr>
        <w:t xml:space="preserve">file </w:t>
      </w:r>
      <w:r>
        <w:rPr>
          <w:rFonts w:ascii="Garamond" w:hAnsi="Garamond"/>
          <w:sz w:val="18"/>
          <w:szCs w:val="18"/>
        </w:rPr>
        <w:t xml:space="preserve">the claim first, then, </w:t>
      </w:r>
      <w:r w:rsidRPr="009074F8">
        <w:rPr>
          <w:rFonts w:ascii="Garamond" w:hAnsi="Garamond"/>
          <w:sz w:val="18"/>
          <w:szCs w:val="18"/>
        </w:rPr>
        <w:t xml:space="preserve">upon receipt of an adverse claim decision, file </w:t>
      </w:r>
      <w:r>
        <w:rPr>
          <w:rFonts w:ascii="Garamond" w:hAnsi="Garamond"/>
          <w:sz w:val="18"/>
          <w:szCs w:val="18"/>
        </w:rPr>
        <w:t>an</w:t>
      </w:r>
      <w:r w:rsidRPr="009074F8">
        <w:rPr>
          <w:rFonts w:ascii="Garamond" w:hAnsi="Garamond"/>
          <w:sz w:val="18"/>
          <w:szCs w:val="18"/>
        </w:rPr>
        <w:t xml:space="preserve"> appeal within 60 days following the date on </w:t>
      </w:r>
      <w:r>
        <w:rPr>
          <w:rFonts w:ascii="Garamond" w:hAnsi="Garamond"/>
          <w:sz w:val="18"/>
          <w:szCs w:val="18"/>
        </w:rPr>
        <w:t>the</w:t>
      </w:r>
      <w:r w:rsidRPr="009074F8">
        <w:rPr>
          <w:rFonts w:ascii="Garamond" w:hAnsi="Garamond"/>
          <w:sz w:val="18"/>
          <w:szCs w:val="18"/>
        </w:rPr>
        <w:t xml:space="preserve"> Remittance Advice.</w:t>
      </w:r>
    </w:p>
  </w:endnote>
  <w:endnote w:id="2">
    <w:p w14:paraId="1A8A04E7" w14:textId="77777777" w:rsidR="008819EE" w:rsidRDefault="008819EE" w:rsidP="00676C6B">
      <w:pPr>
        <w:pStyle w:val="EndnoteText"/>
        <w:spacing w:before="100" w:beforeAutospacing="1" w:after="100" w:afterAutospacing="1"/>
        <w:contextualSpacing/>
      </w:pPr>
      <w:r>
        <w:rPr>
          <w:rStyle w:val="EndnoteReference"/>
        </w:rPr>
        <w:endnoteRef/>
      </w:r>
      <w:r>
        <w:t xml:space="preserve"> </w:t>
      </w:r>
      <w:r w:rsidRPr="00884798">
        <w:rPr>
          <w:rFonts w:ascii="Garamond" w:hAnsi="Garamond"/>
          <w:color w:val="000000" w:themeColor="text1"/>
          <w:sz w:val="18"/>
          <w:szCs w:val="18"/>
        </w:rPr>
        <w:t>Unless provider contract states otherwise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bin">
    <w:panose1 w:val="00000500000000000000"/>
    <w:charset w:val="00"/>
    <w:family w:val="auto"/>
    <w:pitch w:val="variable"/>
    <w:sig w:usb0="20000007" w:usb1="00000001" w:usb2="00000000" w:usb3="00000000" w:csb0="0000019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3EBC1" w14:textId="77777777" w:rsidR="00884798" w:rsidRDefault="00884798" w:rsidP="00252483">
    <w:pPr>
      <w:pStyle w:val="Foote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738DF" w14:textId="77777777" w:rsidR="009E74FA" w:rsidRDefault="009E74FA" w:rsidP="00884798">
      <w:r>
        <w:separator/>
      </w:r>
    </w:p>
  </w:footnote>
  <w:footnote w:type="continuationSeparator" w:id="0">
    <w:p w14:paraId="3C95CEB0" w14:textId="77777777" w:rsidR="009E74FA" w:rsidRDefault="009E74FA" w:rsidP="00884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7DB1"/>
    <w:multiLevelType w:val="hybridMultilevel"/>
    <w:tmpl w:val="96582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260B90"/>
    <w:multiLevelType w:val="hybridMultilevel"/>
    <w:tmpl w:val="96B4EAD8"/>
    <w:lvl w:ilvl="0" w:tplc="04090001">
      <w:start w:val="1"/>
      <w:numFmt w:val="bullet"/>
      <w:lvlText w:val=""/>
      <w:lvlJc w:val="left"/>
      <w:pPr>
        <w:ind w:left="879" w:hanging="360"/>
      </w:pPr>
      <w:rPr>
        <w:rFonts w:ascii="Symbol" w:hAnsi="Symbol" w:hint="default"/>
      </w:rPr>
    </w:lvl>
    <w:lvl w:ilvl="1" w:tplc="04090003" w:tentative="1">
      <w:start w:val="1"/>
      <w:numFmt w:val="bullet"/>
      <w:lvlText w:val="o"/>
      <w:lvlJc w:val="left"/>
      <w:pPr>
        <w:ind w:left="1599" w:hanging="360"/>
      </w:pPr>
      <w:rPr>
        <w:rFonts w:ascii="Courier New" w:hAnsi="Courier New" w:cs="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2" w15:restartNumberingAfterBreak="0">
    <w:nsid w:val="38457596"/>
    <w:multiLevelType w:val="hybridMultilevel"/>
    <w:tmpl w:val="50C63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1E2BE0"/>
    <w:multiLevelType w:val="hybridMultilevel"/>
    <w:tmpl w:val="53A0A804"/>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C4607E"/>
    <w:multiLevelType w:val="hybridMultilevel"/>
    <w:tmpl w:val="0E6A5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904061">
    <w:abstractNumId w:val="1"/>
  </w:num>
  <w:num w:numId="2" w16cid:durableId="1312297526">
    <w:abstractNumId w:val="4"/>
  </w:num>
  <w:num w:numId="3" w16cid:durableId="343745973">
    <w:abstractNumId w:val="2"/>
  </w:num>
  <w:num w:numId="4" w16cid:durableId="1452825586">
    <w:abstractNumId w:val="0"/>
  </w:num>
  <w:num w:numId="5" w16cid:durableId="17976058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91A"/>
    <w:rsid w:val="000A091A"/>
    <w:rsid w:val="000B4CC6"/>
    <w:rsid w:val="000C20DB"/>
    <w:rsid w:val="000F4094"/>
    <w:rsid w:val="00106558"/>
    <w:rsid w:val="00152BEE"/>
    <w:rsid w:val="001614D6"/>
    <w:rsid w:val="001A1FB0"/>
    <w:rsid w:val="001E7AD3"/>
    <w:rsid w:val="001F3D86"/>
    <w:rsid w:val="0021170B"/>
    <w:rsid w:val="0022793D"/>
    <w:rsid w:val="00250782"/>
    <w:rsid w:val="00252483"/>
    <w:rsid w:val="0032203C"/>
    <w:rsid w:val="003B63F9"/>
    <w:rsid w:val="004041AB"/>
    <w:rsid w:val="00411274"/>
    <w:rsid w:val="00444319"/>
    <w:rsid w:val="00450684"/>
    <w:rsid w:val="004F09CD"/>
    <w:rsid w:val="00531FF3"/>
    <w:rsid w:val="00535BC6"/>
    <w:rsid w:val="005451CA"/>
    <w:rsid w:val="00676C6B"/>
    <w:rsid w:val="006A49E1"/>
    <w:rsid w:val="006B152C"/>
    <w:rsid w:val="006F26F4"/>
    <w:rsid w:val="0074543A"/>
    <w:rsid w:val="007A53A2"/>
    <w:rsid w:val="007C0AB1"/>
    <w:rsid w:val="007D2DDD"/>
    <w:rsid w:val="00836AEA"/>
    <w:rsid w:val="00845C55"/>
    <w:rsid w:val="008819EE"/>
    <w:rsid w:val="00884798"/>
    <w:rsid w:val="0088681B"/>
    <w:rsid w:val="00894314"/>
    <w:rsid w:val="008A73C6"/>
    <w:rsid w:val="009074F8"/>
    <w:rsid w:val="009E454B"/>
    <w:rsid w:val="009E74FA"/>
    <w:rsid w:val="00A04A21"/>
    <w:rsid w:val="00A35E58"/>
    <w:rsid w:val="00A55AB4"/>
    <w:rsid w:val="00A641E6"/>
    <w:rsid w:val="00AA737E"/>
    <w:rsid w:val="00AB63E4"/>
    <w:rsid w:val="00AF5FD2"/>
    <w:rsid w:val="00B7779C"/>
    <w:rsid w:val="00BC0D7C"/>
    <w:rsid w:val="00C0599A"/>
    <w:rsid w:val="00CE5D61"/>
    <w:rsid w:val="00D0763B"/>
    <w:rsid w:val="00D15DA7"/>
    <w:rsid w:val="00D96BFA"/>
    <w:rsid w:val="00E410E9"/>
    <w:rsid w:val="00E514C7"/>
    <w:rsid w:val="00E83C45"/>
    <w:rsid w:val="00F12566"/>
    <w:rsid w:val="00FC240B"/>
    <w:rsid w:val="00FC42FE"/>
    <w:rsid w:val="00FD3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24F0E3"/>
  <w15:chartTrackingRefBased/>
  <w15:docId w15:val="{B77634AD-C85C-46F0-950E-9DB887D00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91A"/>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091A"/>
    <w:pPr>
      <w:ind w:left="720"/>
      <w:contextualSpacing/>
    </w:pPr>
  </w:style>
  <w:style w:type="paragraph" w:styleId="Footer">
    <w:name w:val="footer"/>
    <w:basedOn w:val="Normal"/>
    <w:link w:val="FooterChar"/>
    <w:uiPriority w:val="99"/>
    <w:unhideWhenUsed/>
    <w:rsid w:val="00E83C45"/>
    <w:pPr>
      <w:tabs>
        <w:tab w:val="center" w:pos="4680"/>
        <w:tab w:val="right" w:pos="9360"/>
      </w:tabs>
      <w:spacing w:after="200" w:line="276" w:lineRule="auto"/>
    </w:pPr>
    <w:rPr>
      <w:rFonts w:asciiTheme="minorHAnsi" w:hAnsiTheme="minorHAnsi" w:cstheme="minorBidi"/>
    </w:rPr>
  </w:style>
  <w:style w:type="character" w:customStyle="1" w:styleId="FooterChar">
    <w:name w:val="Footer Char"/>
    <w:basedOn w:val="DefaultParagraphFont"/>
    <w:link w:val="Footer"/>
    <w:uiPriority w:val="99"/>
    <w:rsid w:val="00E83C45"/>
  </w:style>
  <w:style w:type="table" w:styleId="TableGrid">
    <w:name w:val="Table Grid"/>
    <w:basedOn w:val="TableNormal"/>
    <w:uiPriority w:val="39"/>
    <w:rsid w:val="00404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4798"/>
    <w:pPr>
      <w:tabs>
        <w:tab w:val="center" w:pos="4680"/>
        <w:tab w:val="right" w:pos="9360"/>
      </w:tabs>
    </w:pPr>
  </w:style>
  <w:style w:type="character" w:customStyle="1" w:styleId="HeaderChar">
    <w:name w:val="Header Char"/>
    <w:basedOn w:val="DefaultParagraphFont"/>
    <w:link w:val="Header"/>
    <w:uiPriority w:val="99"/>
    <w:rsid w:val="00884798"/>
    <w:rPr>
      <w:rFonts w:ascii="Calibri" w:hAnsi="Calibri" w:cs="Times New Roman"/>
    </w:rPr>
  </w:style>
  <w:style w:type="character" w:styleId="Hyperlink">
    <w:name w:val="Hyperlink"/>
    <w:basedOn w:val="DefaultParagraphFont"/>
    <w:uiPriority w:val="99"/>
    <w:unhideWhenUsed/>
    <w:rsid w:val="00E514C7"/>
    <w:rPr>
      <w:color w:val="0563C1" w:themeColor="hyperlink"/>
      <w:u w:val="single"/>
    </w:rPr>
  </w:style>
  <w:style w:type="paragraph" w:styleId="EndnoteText">
    <w:name w:val="endnote text"/>
    <w:basedOn w:val="Normal"/>
    <w:link w:val="EndnoteTextChar"/>
    <w:uiPriority w:val="99"/>
    <w:semiHidden/>
    <w:unhideWhenUsed/>
    <w:rsid w:val="000C20DB"/>
    <w:rPr>
      <w:sz w:val="20"/>
      <w:szCs w:val="20"/>
    </w:rPr>
  </w:style>
  <w:style w:type="character" w:customStyle="1" w:styleId="EndnoteTextChar">
    <w:name w:val="Endnote Text Char"/>
    <w:basedOn w:val="DefaultParagraphFont"/>
    <w:link w:val="EndnoteText"/>
    <w:uiPriority w:val="99"/>
    <w:semiHidden/>
    <w:rsid w:val="000C20DB"/>
    <w:rPr>
      <w:rFonts w:ascii="Calibri" w:hAnsi="Calibri" w:cs="Times New Roman"/>
      <w:sz w:val="20"/>
      <w:szCs w:val="20"/>
    </w:rPr>
  </w:style>
  <w:style w:type="character" w:styleId="EndnoteReference">
    <w:name w:val="endnote reference"/>
    <w:basedOn w:val="DefaultParagraphFont"/>
    <w:uiPriority w:val="99"/>
    <w:semiHidden/>
    <w:unhideWhenUsed/>
    <w:rsid w:val="000C20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AUMailbox@nhpr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hpri.org/provider-manua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pri.org/wp-content/uploads/2023/08/Provider-Claim-Dispute_Provider-initiated-Appeal-Form.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hpri.org/provider-manual/" TargetMode="External"/><Relationship Id="rId4" Type="http://schemas.openxmlformats.org/officeDocument/2006/relationships/settings" Target="settings.xml"/><Relationship Id="rId9" Type="http://schemas.openxmlformats.org/officeDocument/2006/relationships/hyperlink" Target="https://www.nhpri.org/wp-content/uploads/2023/08/Provider-Claim-Dispute_Provider-initiated-Appeal-Form.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08EA2-1C8F-4E37-A115-880C31141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NHPRI</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Zanfini Parker</dc:creator>
  <cp:keywords/>
  <dc:description/>
  <cp:lastModifiedBy>Alex Lippa</cp:lastModifiedBy>
  <cp:revision>2</cp:revision>
  <cp:lastPrinted>2024-03-04T14:55:00Z</cp:lastPrinted>
  <dcterms:created xsi:type="dcterms:W3CDTF">2024-03-04T14:57:00Z</dcterms:created>
  <dcterms:modified xsi:type="dcterms:W3CDTF">2024-03-04T14:57:00Z</dcterms:modified>
</cp:coreProperties>
</file>